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F6B" w:rsidRDefault="00292ECA">
      <w:pPr>
        <w:pStyle w:val="broodtekst"/>
        <w:spacing w:line="20" w:lineRule="exact"/>
        <w:ind w:left="360"/>
      </w:pPr>
      <w:r>
        <w:rPr>
          <w:noProof/>
        </w:rPr>
        <mc:AlternateContent>
          <mc:Choice Requires="wps">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0" cy="0"/>
                <wp:effectExtent l="9525" t="9525" r="9525" b="9525"/>
                <wp:wrapNone/>
                <wp:docPr id="1" name="Carma DocSys~wijw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cap="flat" cmpd="sng">
                          <a:solidFill>
                            <a:srgbClr val="FF00FF"/>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92ECA" w:rsidRDefault="00292ECA"/>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rma DocSys~wijwa" o:spid="_x0000_s1026" type="#_x0000_t202" style="position:absolute;left:0;text-align:left;margin-left:0;margin-top:0;width:0;height:0;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" strokecolor="fuchsia">
                <v:textbox style="layout-flow:vertical;mso-layout-flow-alt:bottom-to-top">
                  <w:txbxContent>
                    <w:p w:rsidR="00292ECA" w:rsidRDefault="00292ECA"/>
                  </w:txbxContent>
                </v:textbox>
                <w10:wrap anchorx="page" anchory="page"/>
              </v:shape>
            </w:pict>
          </mc:Fallback>
        </mc:AlternateContent>
      </w:r>
    </w:p>
    <w:p w:rsidR="003C7F6B" w:rsidRDefault="003C7F6B">
      <w:pPr>
        <w:pStyle w:val="broodtekst"/>
      </w:pPr>
    </w:p>
    <w:p w:rsidR="003C7F6B" w:rsidRDefault="003C7F6B">
      <w:pPr>
        <w:pStyle w:val="broodtekst"/>
        <w:sectPr w:rsidR="003C7F6B" w:rsidSect="0078052C">
          <w:headerReference w:type="even" r:id="rId8"/>
          <w:footerReference w:type="even" r:id="rId9"/>
          <w:footerReference w:type="default" r:id="rId10"/>
          <w:headerReference w:type="first" r:id="rId11"/>
          <w:footerReference w:type="first" r:id="rId12"/>
          <w:pgSz w:w="11906" w:h="16838" w:code="9"/>
          <w:pgMar w:top="4683" w:right="2818" w:bottom="1758" w:left="1588" w:header="2398" w:footer="561" w:gutter="0"/>
          <w:cols w:space="720"/>
          <w:titlePg/>
          <w:docGrid w:linePitch="360"/>
        </w:sectPr>
      </w:pPr>
    </w:p>
    <w:p w:rsidR="00292ECA" w:rsidRPr="00292ECA" w:rsidRDefault="00292ECA">
      <w:pPr>
        <w:pStyle w:val="broodtekst"/>
        <w:rPr>
          <w:b/>
          <w:sz w:val="20"/>
          <w:szCs w:val="20"/>
        </w:rPr>
      </w:pPr>
      <w:bookmarkStart w:id="0" w:name="cursor"/>
      <w:bookmarkEnd w:id="0"/>
      <w:r w:rsidRPr="00292ECA">
        <w:rPr>
          <w:b/>
          <w:sz w:val="20"/>
          <w:szCs w:val="20"/>
        </w:rPr>
        <w:lastRenderedPageBreak/>
        <w:t xml:space="preserve">Besluit </w:t>
      </w:r>
    </w:p>
    <w:p w:rsidR="008D59D8" w:rsidRDefault="00292ECA">
      <w:pPr>
        <w:pStyle w:val="broodtekst"/>
        <w:rPr>
          <w:b/>
          <w:sz w:val="20"/>
          <w:szCs w:val="20"/>
        </w:rPr>
      </w:pPr>
      <w:proofErr w:type="gramStart"/>
      <w:r w:rsidRPr="00292ECA">
        <w:rPr>
          <w:b/>
          <w:sz w:val="20"/>
          <w:szCs w:val="20"/>
        </w:rPr>
        <w:t>houdende</w:t>
      </w:r>
      <w:proofErr w:type="gramEnd"/>
      <w:r w:rsidRPr="00292ECA">
        <w:rPr>
          <w:b/>
          <w:sz w:val="20"/>
          <w:szCs w:val="20"/>
        </w:rPr>
        <w:t xml:space="preserve"> regels inzake de schriftelijke mededeling van rechten ten behoeve van aangehouden verdachten (Besluit mededeling van rechten in strafzaken)</w:t>
      </w:r>
    </w:p>
    <w:p w:rsidR="00292ECA" w:rsidRDefault="00292ECA">
      <w:pPr>
        <w:pStyle w:val="broodtekst"/>
        <w:rPr>
          <w:b/>
          <w:sz w:val="20"/>
          <w:szCs w:val="20"/>
        </w:rPr>
      </w:pPr>
    </w:p>
    <w:p w:rsidR="00292ECA" w:rsidRDefault="00292ECA" w:rsidP="00292ECA">
      <w:pPr>
        <w:spacing w:line="276" w:lineRule="auto"/>
        <w:rPr>
          <w:sz w:val="20"/>
          <w:szCs w:val="20"/>
        </w:rPr>
      </w:pPr>
    </w:p>
    <w:p w:rsidR="00292ECA" w:rsidRPr="006C1876" w:rsidRDefault="00292ECA" w:rsidP="00292ECA">
      <w:pPr>
        <w:spacing w:line="276" w:lineRule="auto"/>
        <w:rPr>
          <w:sz w:val="20"/>
          <w:szCs w:val="20"/>
        </w:rPr>
      </w:pPr>
      <w:r w:rsidRPr="006C1876">
        <w:rPr>
          <w:sz w:val="20"/>
          <w:szCs w:val="20"/>
        </w:rPr>
        <w:t>Op de voordracht van Onze Minister van Veiligheid en Justitie van</w:t>
      </w:r>
      <w:r>
        <w:rPr>
          <w:sz w:val="20"/>
          <w:szCs w:val="20"/>
        </w:rPr>
        <w:t xml:space="preserve"> 25 juni 2014,</w:t>
      </w:r>
      <w:r w:rsidRPr="006C1876">
        <w:rPr>
          <w:sz w:val="20"/>
          <w:szCs w:val="20"/>
        </w:rPr>
        <w:t xml:space="preserve"> nr</w:t>
      </w:r>
      <w:r w:rsidR="00B60C16">
        <w:rPr>
          <w:sz w:val="20"/>
          <w:szCs w:val="20"/>
        </w:rPr>
        <w:t xml:space="preserve">. </w:t>
      </w:r>
      <w:r w:rsidR="00B60C16" w:rsidRPr="00B60C16">
        <w:rPr>
          <w:sz w:val="20"/>
          <w:szCs w:val="20"/>
        </w:rPr>
        <w:t>532606</w:t>
      </w:r>
      <w:r w:rsidRPr="006C1876">
        <w:rPr>
          <w:sz w:val="20"/>
          <w:szCs w:val="20"/>
        </w:rPr>
        <w:t>;</w:t>
      </w:r>
    </w:p>
    <w:p w:rsidR="00292ECA" w:rsidRPr="006C1876" w:rsidRDefault="00292ECA" w:rsidP="00292ECA">
      <w:pPr>
        <w:spacing w:line="276" w:lineRule="auto"/>
        <w:rPr>
          <w:sz w:val="20"/>
          <w:szCs w:val="20"/>
        </w:rPr>
      </w:pPr>
      <w:r>
        <w:rPr>
          <w:sz w:val="20"/>
          <w:szCs w:val="20"/>
        </w:rPr>
        <w:t xml:space="preserve">Gelet op </w:t>
      </w:r>
      <w:r w:rsidRPr="006C1876">
        <w:rPr>
          <w:sz w:val="20"/>
          <w:szCs w:val="20"/>
        </w:rPr>
        <w:t xml:space="preserve">artikel </w:t>
      </w:r>
      <w:r>
        <w:rPr>
          <w:sz w:val="20"/>
          <w:szCs w:val="20"/>
        </w:rPr>
        <w:t xml:space="preserve">27c, derde lid, onderdeel g, </w:t>
      </w:r>
      <w:r w:rsidRPr="006C1876">
        <w:rPr>
          <w:sz w:val="20"/>
          <w:szCs w:val="20"/>
        </w:rPr>
        <w:t>van</w:t>
      </w:r>
      <w:r>
        <w:rPr>
          <w:sz w:val="20"/>
          <w:szCs w:val="20"/>
        </w:rPr>
        <w:t xml:space="preserve"> het Wetboek van Strafvordering</w:t>
      </w:r>
      <w:r w:rsidRPr="006C1876">
        <w:rPr>
          <w:sz w:val="20"/>
          <w:szCs w:val="20"/>
        </w:rPr>
        <w:t>;</w:t>
      </w:r>
    </w:p>
    <w:p w:rsidR="00292ECA" w:rsidRPr="006C1876" w:rsidRDefault="00292ECA" w:rsidP="00292ECA">
      <w:pPr>
        <w:spacing w:line="276" w:lineRule="auto"/>
        <w:rPr>
          <w:sz w:val="20"/>
          <w:szCs w:val="20"/>
        </w:rPr>
      </w:pPr>
      <w:r w:rsidRPr="006C1876">
        <w:rPr>
          <w:sz w:val="20"/>
          <w:szCs w:val="20"/>
        </w:rPr>
        <w:t xml:space="preserve">De Afdeling advisering van de Raad van State gehoord (advies van    , </w:t>
      </w:r>
      <w:proofErr w:type="gramStart"/>
      <w:r w:rsidRPr="006C1876">
        <w:rPr>
          <w:sz w:val="20"/>
          <w:szCs w:val="20"/>
        </w:rPr>
        <w:t xml:space="preserve">nr.     </w:t>
      </w:r>
      <w:proofErr w:type="gramEnd"/>
      <w:r w:rsidRPr="006C1876">
        <w:rPr>
          <w:sz w:val="20"/>
          <w:szCs w:val="20"/>
        </w:rPr>
        <w:t xml:space="preserve">); </w:t>
      </w:r>
    </w:p>
    <w:p w:rsidR="00292ECA" w:rsidRDefault="00292ECA" w:rsidP="00292ECA">
      <w:pPr>
        <w:spacing w:line="276" w:lineRule="auto"/>
        <w:rPr>
          <w:sz w:val="20"/>
          <w:szCs w:val="20"/>
        </w:rPr>
      </w:pPr>
      <w:r w:rsidRPr="006C1876">
        <w:rPr>
          <w:sz w:val="20"/>
          <w:szCs w:val="20"/>
        </w:rPr>
        <w:t xml:space="preserve">Gezien het nader rapport van Onze Minister van Veiligheid en Justitie van      , </w:t>
      </w:r>
      <w:proofErr w:type="gramStart"/>
      <w:r w:rsidRPr="006C1876">
        <w:rPr>
          <w:sz w:val="20"/>
          <w:szCs w:val="20"/>
        </w:rPr>
        <w:t xml:space="preserve">nr.   </w:t>
      </w:r>
      <w:proofErr w:type="gramEnd"/>
      <w:r w:rsidRPr="006C1876">
        <w:rPr>
          <w:sz w:val="20"/>
          <w:szCs w:val="20"/>
        </w:rPr>
        <w:t>;</w:t>
      </w:r>
    </w:p>
    <w:p w:rsidR="00292ECA" w:rsidRDefault="00292ECA" w:rsidP="00292ECA">
      <w:pPr>
        <w:spacing w:line="276" w:lineRule="auto"/>
        <w:rPr>
          <w:sz w:val="20"/>
          <w:szCs w:val="20"/>
        </w:rPr>
      </w:pPr>
    </w:p>
    <w:p w:rsidR="00205A87" w:rsidRPr="006C1876" w:rsidRDefault="00205A87" w:rsidP="00292ECA">
      <w:pPr>
        <w:spacing w:line="276" w:lineRule="auto"/>
        <w:rPr>
          <w:sz w:val="20"/>
          <w:szCs w:val="20"/>
        </w:rPr>
      </w:pPr>
    </w:p>
    <w:p w:rsidR="00292ECA" w:rsidRPr="006C1876" w:rsidRDefault="00292ECA" w:rsidP="00292ECA">
      <w:pPr>
        <w:spacing w:line="276" w:lineRule="auto"/>
        <w:rPr>
          <w:sz w:val="20"/>
          <w:szCs w:val="20"/>
        </w:rPr>
      </w:pPr>
      <w:r w:rsidRPr="006C1876">
        <w:rPr>
          <w:sz w:val="20"/>
          <w:szCs w:val="20"/>
        </w:rPr>
        <w:t>Hebben goedgevonden en verstaan:</w:t>
      </w:r>
    </w:p>
    <w:p w:rsidR="00292ECA" w:rsidRPr="006C1876" w:rsidRDefault="00292ECA" w:rsidP="00292ECA">
      <w:pPr>
        <w:spacing w:line="276" w:lineRule="auto"/>
        <w:rPr>
          <w:sz w:val="20"/>
          <w:szCs w:val="20"/>
        </w:rPr>
      </w:pPr>
    </w:p>
    <w:p w:rsidR="00292ECA" w:rsidRPr="006C1876" w:rsidRDefault="00292ECA" w:rsidP="00292ECA">
      <w:pPr>
        <w:spacing w:line="276" w:lineRule="auto"/>
        <w:rPr>
          <w:b/>
          <w:sz w:val="20"/>
          <w:szCs w:val="20"/>
        </w:rPr>
      </w:pPr>
      <w:r w:rsidRPr="006C1876">
        <w:rPr>
          <w:b/>
          <w:sz w:val="20"/>
          <w:szCs w:val="20"/>
        </w:rPr>
        <w:t>Artikel 1</w:t>
      </w:r>
    </w:p>
    <w:p w:rsidR="00292ECA" w:rsidRPr="006C1876" w:rsidRDefault="00292ECA" w:rsidP="00292ECA">
      <w:pPr>
        <w:spacing w:line="276" w:lineRule="auto"/>
        <w:rPr>
          <w:b/>
          <w:sz w:val="20"/>
          <w:szCs w:val="20"/>
        </w:rPr>
      </w:pPr>
    </w:p>
    <w:p w:rsidR="00292ECA" w:rsidRPr="002F351C" w:rsidRDefault="00292ECA" w:rsidP="00292ECA">
      <w:pPr>
        <w:spacing w:line="276" w:lineRule="auto"/>
        <w:rPr>
          <w:sz w:val="20"/>
          <w:szCs w:val="20"/>
        </w:rPr>
      </w:pPr>
      <w:r>
        <w:rPr>
          <w:sz w:val="20"/>
          <w:szCs w:val="20"/>
        </w:rPr>
        <w:t xml:space="preserve">De schriftelijke </w:t>
      </w:r>
      <w:r w:rsidRPr="002F351C">
        <w:rPr>
          <w:sz w:val="20"/>
          <w:szCs w:val="20"/>
        </w:rPr>
        <w:t>mededeling, bedoeld in art</w:t>
      </w:r>
      <w:r>
        <w:rPr>
          <w:sz w:val="20"/>
          <w:szCs w:val="20"/>
        </w:rPr>
        <w:t xml:space="preserve">ikel 27c, derde lid, van het Wetboek van Strafvordering, omvat informatie </w:t>
      </w:r>
      <w:proofErr w:type="gramStart"/>
      <w:r>
        <w:rPr>
          <w:sz w:val="20"/>
          <w:szCs w:val="20"/>
        </w:rPr>
        <w:t xml:space="preserve">over: </w:t>
      </w:r>
      <w:r w:rsidRPr="002F351C">
        <w:rPr>
          <w:sz w:val="20"/>
          <w:szCs w:val="20"/>
        </w:rPr>
        <w:t xml:space="preserve"> </w:t>
      </w:r>
      <w:proofErr w:type="gramEnd"/>
    </w:p>
    <w:p w:rsidR="00292ECA" w:rsidRDefault="00292ECA" w:rsidP="00292ECA">
      <w:pPr>
        <w:spacing w:line="276" w:lineRule="auto"/>
        <w:rPr>
          <w:sz w:val="20"/>
          <w:szCs w:val="20"/>
        </w:rPr>
      </w:pPr>
      <w:proofErr w:type="gramStart"/>
      <w:r>
        <w:rPr>
          <w:sz w:val="20"/>
          <w:szCs w:val="20"/>
        </w:rPr>
        <w:t>a</w:t>
      </w:r>
      <w:proofErr w:type="gramEnd"/>
      <w:r>
        <w:rPr>
          <w:sz w:val="20"/>
          <w:szCs w:val="20"/>
        </w:rPr>
        <w:t xml:space="preserve">. het bepaalde in artikel 27 van de Ambtsinstructie voor de politie, de Koninklijke Marechaussee en andere opsporingsambtenaren; </w:t>
      </w:r>
    </w:p>
    <w:p w:rsidR="00292ECA" w:rsidRDefault="00292ECA" w:rsidP="00292ECA">
      <w:pPr>
        <w:spacing w:line="276" w:lineRule="auto"/>
        <w:rPr>
          <w:sz w:val="20"/>
          <w:szCs w:val="20"/>
        </w:rPr>
      </w:pPr>
      <w:r>
        <w:rPr>
          <w:sz w:val="20"/>
          <w:szCs w:val="20"/>
        </w:rPr>
        <w:t xml:space="preserve">b. het bepaalde in </w:t>
      </w:r>
      <w:r w:rsidRPr="002F351C">
        <w:rPr>
          <w:sz w:val="20"/>
          <w:szCs w:val="20"/>
        </w:rPr>
        <w:t xml:space="preserve">artikel 36, </w:t>
      </w:r>
      <w:r>
        <w:rPr>
          <w:sz w:val="20"/>
          <w:szCs w:val="20"/>
        </w:rPr>
        <w:t xml:space="preserve">eerste lid, onderdeel b, van het op 24 april 1964 te Wenen tot stand gekomen Verdrag van Wenen </w:t>
      </w:r>
      <w:proofErr w:type="gramStart"/>
      <w:r>
        <w:rPr>
          <w:sz w:val="20"/>
          <w:szCs w:val="20"/>
        </w:rPr>
        <w:t>inzake</w:t>
      </w:r>
      <w:proofErr w:type="gramEnd"/>
      <w:r>
        <w:rPr>
          <w:sz w:val="20"/>
          <w:szCs w:val="20"/>
        </w:rPr>
        <w:t xml:space="preserve"> consulaire betrekkingen (</w:t>
      </w:r>
      <w:proofErr w:type="spellStart"/>
      <w:r>
        <w:rPr>
          <w:sz w:val="20"/>
          <w:szCs w:val="20"/>
        </w:rPr>
        <w:t>Trb</w:t>
      </w:r>
      <w:proofErr w:type="spellEnd"/>
      <w:r>
        <w:rPr>
          <w:sz w:val="20"/>
          <w:szCs w:val="20"/>
        </w:rPr>
        <w:t xml:space="preserve">. 1981, 143); </w:t>
      </w:r>
    </w:p>
    <w:p w:rsidR="00292ECA" w:rsidRDefault="00292ECA" w:rsidP="00292ECA">
      <w:pPr>
        <w:spacing w:line="276" w:lineRule="auto"/>
        <w:rPr>
          <w:sz w:val="20"/>
          <w:szCs w:val="20"/>
        </w:rPr>
      </w:pPr>
      <w:proofErr w:type="gramStart"/>
      <w:r>
        <w:rPr>
          <w:sz w:val="20"/>
          <w:szCs w:val="20"/>
        </w:rPr>
        <w:t>c.</w:t>
      </w:r>
      <w:proofErr w:type="gramEnd"/>
      <w:r>
        <w:rPr>
          <w:sz w:val="20"/>
          <w:szCs w:val="20"/>
        </w:rPr>
        <w:t xml:space="preserve"> het bepaalde in artikel </w:t>
      </w:r>
      <w:r w:rsidRPr="00C543D4">
        <w:rPr>
          <w:sz w:val="20"/>
          <w:szCs w:val="20"/>
        </w:rPr>
        <w:t>32 van de Ambtsinstructie voor de politie, de Koninklijke Marechaussee en andere opsporingsambtenaren</w:t>
      </w:r>
      <w:r>
        <w:rPr>
          <w:sz w:val="20"/>
          <w:szCs w:val="20"/>
        </w:rPr>
        <w:t xml:space="preserve">. </w:t>
      </w:r>
    </w:p>
    <w:p w:rsidR="00292ECA" w:rsidRPr="002F351C" w:rsidRDefault="00292ECA" w:rsidP="00292ECA">
      <w:pPr>
        <w:spacing w:line="276" w:lineRule="auto"/>
        <w:rPr>
          <w:b/>
          <w:sz w:val="20"/>
          <w:szCs w:val="20"/>
        </w:rPr>
      </w:pPr>
    </w:p>
    <w:p w:rsidR="00292ECA" w:rsidRPr="006C1876" w:rsidRDefault="00292ECA" w:rsidP="00292ECA">
      <w:pPr>
        <w:spacing w:line="276" w:lineRule="auto"/>
        <w:rPr>
          <w:b/>
          <w:sz w:val="20"/>
          <w:szCs w:val="20"/>
        </w:rPr>
      </w:pPr>
      <w:r>
        <w:rPr>
          <w:b/>
          <w:sz w:val="20"/>
          <w:szCs w:val="20"/>
        </w:rPr>
        <w:t>Artikel 2</w:t>
      </w:r>
    </w:p>
    <w:p w:rsidR="00292ECA" w:rsidRDefault="00292ECA" w:rsidP="00292ECA">
      <w:pPr>
        <w:spacing w:line="276" w:lineRule="auto"/>
        <w:rPr>
          <w:sz w:val="20"/>
          <w:szCs w:val="20"/>
        </w:rPr>
      </w:pPr>
    </w:p>
    <w:p w:rsidR="00292ECA" w:rsidRPr="006C1876" w:rsidRDefault="00292ECA" w:rsidP="00292ECA">
      <w:pPr>
        <w:spacing w:line="276" w:lineRule="auto"/>
        <w:rPr>
          <w:sz w:val="20"/>
          <w:szCs w:val="20"/>
        </w:rPr>
      </w:pPr>
      <w:r w:rsidRPr="006C1876">
        <w:rPr>
          <w:sz w:val="20"/>
          <w:szCs w:val="20"/>
        </w:rPr>
        <w:t>Dit besluit word</w:t>
      </w:r>
      <w:r>
        <w:rPr>
          <w:sz w:val="20"/>
          <w:szCs w:val="20"/>
        </w:rPr>
        <w:t>t aangehaald als: Besluit mededeling van rechten in strafzaken</w:t>
      </w:r>
    </w:p>
    <w:p w:rsidR="00CD6A52" w:rsidRDefault="00CD6A52" w:rsidP="00292ECA">
      <w:pPr>
        <w:spacing w:line="276" w:lineRule="auto"/>
        <w:rPr>
          <w:b/>
          <w:sz w:val="20"/>
          <w:szCs w:val="20"/>
        </w:rPr>
      </w:pPr>
    </w:p>
    <w:p w:rsidR="00292ECA" w:rsidRPr="006C1876" w:rsidRDefault="00292ECA" w:rsidP="00292ECA">
      <w:pPr>
        <w:spacing w:line="276" w:lineRule="auto"/>
        <w:rPr>
          <w:b/>
          <w:sz w:val="20"/>
          <w:szCs w:val="20"/>
        </w:rPr>
      </w:pPr>
      <w:r>
        <w:rPr>
          <w:b/>
          <w:sz w:val="20"/>
          <w:szCs w:val="20"/>
        </w:rPr>
        <w:t>Artikel 3</w:t>
      </w:r>
    </w:p>
    <w:p w:rsidR="00292ECA" w:rsidRPr="006C1876" w:rsidRDefault="00292ECA" w:rsidP="00292ECA">
      <w:pPr>
        <w:spacing w:line="276" w:lineRule="auto"/>
        <w:rPr>
          <w:sz w:val="20"/>
          <w:szCs w:val="20"/>
        </w:rPr>
      </w:pPr>
    </w:p>
    <w:p w:rsidR="00292ECA" w:rsidRPr="006C1876" w:rsidRDefault="00292ECA" w:rsidP="00292ECA">
      <w:pPr>
        <w:spacing w:line="276" w:lineRule="auto"/>
        <w:rPr>
          <w:sz w:val="20"/>
          <w:szCs w:val="20"/>
        </w:rPr>
      </w:pPr>
      <w:r w:rsidRPr="006C1876">
        <w:rPr>
          <w:sz w:val="20"/>
          <w:szCs w:val="20"/>
        </w:rPr>
        <w:t xml:space="preserve">Dit besluit </w:t>
      </w:r>
      <w:r>
        <w:rPr>
          <w:sz w:val="20"/>
          <w:szCs w:val="20"/>
        </w:rPr>
        <w:t>treedt in werking op een bij koninklijk besluit vast te stellen tijdstip</w:t>
      </w:r>
      <w:r w:rsidRPr="006C1876">
        <w:rPr>
          <w:sz w:val="20"/>
          <w:szCs w:val="20"/>
        </w:rPr>
        <w:t>.</w:t>
      </w:r>
    </w:p>
    <w:p w:rsidR="00292ECA" w:rsidRPr="006C1876" w:rsidRDefault="00292ECA" w:rsidP="00292ECA">
      <w:pPr>
        <w:spacing w:line="276" w:lineRule="auto"/>
        <w:rPr>
          <w:sz w:val="20"/>
          <w:szCs w:val="20"/>
        </w:rPr>
      </w:pPr>
    </w:p>
    <w:p w:rsidR="00292ECA" w:rsidRPr="006C1876" w:rsidRDefault="00292ECA" w:rsidP="00292ECA">
      <w:pPr>
        <w:spacing w:line="276" w:lineRule="auto"/>
        <w:rPr>
          <w:sz w:val="20"/>
          <w:szCs w:val="20"/>
        </w:rPr>
      </w:pPr>
    </w:p>
    <w:p w:rsidR="00292ECA" w:rsidRPr="006C1876" w:rsidRDefault="00292ECA" w:rsidP="00292ECA">
      <w:pPr>
        <w:spacing w:line="276" w:lineRule="auto"/>
        <w:rPr>
          <w:sz w:val="20"/>
          <w:szCs w:val="20"/>
        </w:rPr>
      </w:pPr>
      <w:r w:rsidRPr="006C1876">
        <w:rPr>
          <w:sz w:val="20"/>
          <w:szCs w:val="20"/>
        </w:rPr>
        <w:t>Lasten en bevelen dat dit besluit met de daarbij behorende nota van toelichting in het Staatsblad zal worden geplaatst.</w:t>
      </w:r>
    </w:p>
    <w:p w:rsidR="00292ECA" w:rsidRPr="006C1876" w:rsidRDefault="00292ECA" w:rsidP="00292ECA">
      <w:pPr>
        <w:spacing w:line="276" w:lineRule="auto"/>
        <w:rPr>
          <w:sz w:val="20"/>
          <w:szCs w:val="20"/>
        </w:rPr>
      </w:pPr>
    </w:p>
    <w:p w:rsidR="00292ECA" w:rsidRPr="006C1876" w:rsidRDefault="00292ECA" w:rsidP="00292ECA">
      <w:pPr>
        <w:spacing w:line="276" w:lineRule="auto"/>
        <w:rPr>
          <w:sz w:val="20"/>
          <w:szCs w:val="20"/>
        </w:rPr>
      </w:pPr>
    </w:p>
    <w:p w:rsidR="00292ECA" w:rsidRPr="006C1876" w:rsidRDefault="00292ECA" w:rsidP="00292ECA">
      <w:pPr>
        <w:spacing w:line="276" w:lineRule="auto"/>
        <w:rPr>
          <w:sz w:val="20"/>
          <w:szCs w:val="20"/>
        </w:rPr>
      </w:pPr>
    </w:p>
    <w:p w:rsidR="00292ECA" w:rsidRPr="006C1876" w:rsidRDefault="00292ECA" w:rsidP="00292ECA">
      <w:pPr>
        <w:spacing w:line="276" w:lineRule="auto"/>
        <w:rPr>
          <w:sz w:val="20"/>
          <w:szCs w:val="20"/>
        </w:rPr>
      </w:pPr>
      <w:r w:rsidRPr="006C1876">
        <w:rPr>
          <w:sz w:val="20"/>
          <w:szCs w:val="20"/>
        </w:rPr>
        <w:t>De Minister van Veiligheid en Justitie,</w:t>
      </w:r>
    </w:p>
    <w:p w:rsidR="00292ECA" w:rsidRPr="006C1876" w:rsidRDefault="00292ECA" w:rsidP="00292ECA">
      <w:pPr>
        <w:spacing w:line="276" w:lineRule="auto"/>
        <w:rPr>
          <w:sz w:val="20"/>
          <w:szCs w:val="20"/>
        </w:rPr>
      </w:pPr>
    </w:p>
    <w:p w:rsidR="00292ECA" w:rsidRPr="006C1876" w:rsidRDefault="00292ECA" w:rsidP="00292ECA">
      <w:pPr>
        <w:spacing w:line="276" w:lineRule="auto"/>
        <w:rPr>
          <w:sz w:val="20"/>
          <w:szCs w:val="20"/>
        </w:rPr>
      </w:pPr>
    </w:p>
    <w:p w:rsidR="007C2CF7" w:rsidRDefault="00292ECA" w:rsidP="00292ECA">
      <w:pPr>
        <w:spacing w:line="276" w:lineRule="auto"/>
        <w:rPr>
          <w:sz w:val="20"/>
          <w:szCs w:val="20"/>
        </w:rPr>
      </w:pPr>
      <w:r>
        <w:rPr>
          <w:sz w:val="20"/>
          <w:szCs w:val="20"/>
        </w:rPr>
        <w:br w:type="page"/>
      </w:r>
    </w:p>
    <w:p w:rsidR="007C2CF7" w:rsidRDefault="007C2CF7" w:rsidP="00292ECA">
      <w:pPr>
        <w:spacing w:line="276" w:lineRule="auto"/>
        <w:rPr>
          <w:sz w:val="20"/>
          <w:szCs w:val="20"/>
        </w:rPr>
      </w:pPr>
    </w:p>
    <w:p w:rsidR="00292ECA" w:rsidRPr="006C1876" w:rsidRDefault="00292ECA" w:rsidP="00292ECA">
      <w:pPr>
        <w:spacing w:line="276" w:lineRule="auto"/>
        <w:rPr>
          <w:b/>
          <w:sz w:val="20"/>
          <w:szCs w:val="20"/>
        </w:rPr>
      </w:pPr>
      <w:bookmarkStart w:id="1" w:name="_GoBack"/>
      <w:bookmarkEnd w:id="1"/>
      <w:r w:rsidRPr="006C1876">
        <w:rPr>
          <w:b/>
          <w:sz w:val="20"/>
          <w:szCs w:val="20"/>
        </w:rPr>
        <w:t>NOTA VAN TOELICHTING</w:t>
      </w:r>
    </w:p>
    <w:p w:rsidR="00292ECA" w:rsidRPr="006C1876" w:rsidRDefault="00292ECA" w:rsidP="00292ECA">
      <w:pPr>
        <w:spacing w:line="276" w:lineRule="auto"/>
        <w:rPr>
          <w:sz w:val="20"/>
          <w:szCs w:val="20"/>
        </w:rPr>
      </w:pPr>
    </w:p>
    <w:p w:rsidR="00292ECA" w:rsidRPr="006C1876" w:rsidRDefault="00292ECA" w:rsidP="00292ECA">
      <w:pPr>
        <w:spacing w:line="276" w:lineRule="auto"/>
        <w:rPr>
          <w:b/>
          <w:sz w:val="20"/>
          <w:szCs w:val="20"/>
        </w:rPr>
      </w:pPr>
      <w:r w:rsidRPr="006C1876">
        <w:rPr>
          <w:b/>
          <w:sz w:val="20"/>
          <w:szCs w:val="20"/>
        </w:rPr>
        <w:t>Algemeen</w:t>
      </w:r>
    </w:p>
    <w:p w:rsidR="00292ECA" w:rsidRPr="006C1876" w:rsidRDefault="00292ECA" w:rsidP="00292ECA">
      <w:pPr>
        <w:spacing w:line="276" w:lineRule="auto"/>
        <w:rPr>
          <w:sz w:val="20"/>
          <w:szCs w:val="20"/>
        </w:rPr>
      </w:pPr>
    </w:p>
    <w:p w:rsidR="00292ECA" w:rsidRDefault="00292ECA" w:rsidP="00292ECA">
      <w:pPr>
        <w:spacing w:line="276" w:lineRule="auto"/>
        <w:rPr>
          <w:rFonts w:cs="Arial"/>
          <w:sz w:val="20"/>
          <w:szCs w:val="20"/>
          <w:lang w:eastAsia="en-US"/>
        </w:rPr>
      </w:pPr>
      <w:r>
        <w:rPr>
          <w:rFonts w:cs="Arial"/>
          <w:sz w:val="20"/>
          <w:szCs w:val="20"/>
          <w:lang w:eastAsia="en-US"/>
        </w:rPr>
        <w:t xml:space="preserve">Dit besluit houdt verband met de </w:t>
      </w:r>
      <w:proofErr w:type="gramStart"/>
      <w:r>
        <w:rPr>
          <w:rFonts w:cs="Arial"/>
          <w:sz w:val="20"/>
          <w:szCs w:val="20"/>
          <w:lang w:eastAsia="en-US"/>
        </w:rPr>
        <w:t>i</w:t>
      </w:r>
      <w:r w:rsidRPr="00136768">
        <w:rPr>
          <w:rFonts w:cs="Arial"/>
          <w:sz w:val="20"/>
          <w:szCs w:val="20"/>
          <w:lang w:eastAsia="en-US"/>
        </w:rPr>
        <w:t>mplementatie</w:t>
      </w:r>
      <w:proofErr w:type="gramEnd"/>
      <w:r w:rsidRPr="00136768">
        <w:rPr>
          <w:rFonts w:cs="Arial"/>
          <w:sz w:val="20"/>
          <w:szCs w:val="20"/>
          <w:lang w:eastAsia="en-US"/>
        </w:rPr>
        <w:t xml:space="preserve"> van </w:t>
      </w:r>
      <w:r>
        <w:rPr>
          <w:rFonts w:cs="Arial"/>
          <w:sz w:val="20"/>
          <w:szCs w:val="20"/>
          <w:lang w:eastAsia="en-US"/>
        </w:rPr>
        <w:t xml:space="preserve">de richtlijn </w:t>
      </w:r>
      <w:r w:rsidRPr="00136768">
        <w:rPr>
          <w:rFonts w:cs="Arial"/>
          <w:sz w:val="20"/>
          <w:szCs w:val="20"/>
          <w:lang w:eastAsia="en-US"/>
        </w:rPr>
        <w:t>2012/13/EU van het Europees Parlement en de Raad van 22 mei 2012 betreffende het recht op informatie in strafprocedures (</w:t>
      </w:r>
      <w:proofErr w:type="spellStart"/>
      <w:r w:rsidRPr="00136768">
        <w:rPr>
          <w:rFonts w:cs="Arial"/>
          <w:sz w:val="20"/>
          <w:szCs w:val="20"/>
          <w:lang w:eastAsia="en-US"/>
        </w:rPr>
        <w:t>PbEU</w:t>
      </w:r>
      <w:proofErr w:type="spellEnd"/>
      <w:r w:rsidRPr="00136768">
        <w:rPr>
          <w:rFonts w:cs="Arial"/>
          <w:sz w:val="20"/>
          <w:szCs w:val="20"/>
          <w:lang w:eastAsia="en-US"/>
        </w:rPr>
        <w:t xml:space="preserve"> L 142)</w:t>
      </w:r>
      <w:r>
        <w:rPr>
          <w:rFonts w:cs="Arial"/>
          <w:sz w:val="20"/>
          <w:szCs w:val="20"/>
          <w:lang w:eastAsia="en-US"/>
        </w:rPr>
        <w:t xml:space="preserve"> (hierna: de richtlijn). De richtlijn verplicht de lidstaten onder andere iedere verdachte die is aangehouden schriftelijk te informeren over een aantal </w:t>
      </w:r>
      <w:proofErr w:type="gramStart"/>
      <w:r>
        <w:rPr>
          <w:rFonts w:cs="Arial"/>
          <w:sz w:val="20"/>
          <w:szCs w:val="20"/>
          <w:lang w:eastAsia="en-US"/>
        </w:rPr>
        <w:t>rechten die</w:t>
      </w:r>
      <w:proofErr w:type="gramEnd"/>
      <w:r>
        <w:rPr>
          <w:rFonts w:cs="Arial"/>
          <w:sz w:val="20"/>
          <w:szCs w:val="20"/>
          <w:lang w:eastAsia="en-US"/>
        </w:rPr>
        <w:t xml:space="preserve"> hem toekomen in verband met de strafprocedure en zijn vrijheidsbeneming. Aan de aangehouden verdachte dient in ieder geval schriftelijk mededeling te worden gedaan van de rechten die zijn opgesomd in de artikelen 3 en 4 van de richtlijn. </w:t>
      </w:r>
    </w:p>
    <w:p w:rsidR="00292ECA" w:rsidRDefault="00292ECA" w:rsidP="00292ECA">
      <w:pPr>
        <w:spacing w:line="276" w:lineRule="auto"/>
        <w:rPr>
          <w:rFonts w:cs="Arial"/>
          <w:sz w:val="20"/>
          <w:szCs w:val="20"/>
          <w:lang w:eastAsia="en-US"/>
        </w:rPr>
      </w:pPr>
    </w:p>
    <w:p w:rsidR="00292ECA" w:rsidRDefault="00292ECA" w:rsidP="00292ECA">
      <w:pPr>
        <w:spacing w:line="276" w:lineRule="auto"/>
        <w:rPr>
          <w:sz w:val="20"/>
          <w:szCs w:val="20"/>
        </w:rPr>
      </w:pPr>
      <w:r>
        <w:rPr>
          <w:rFonts w:cs="Arial"/>
          <w:sz w:val="20"/>
          <w:szCs w:val="20"/>
          <w:lang w:eastAsia="en-US"/>
        </w:rPr>
        <w:t xml:space="preserve">De richtlijn is geïmplementeerd in het Wetboek van Strafvordering (hierna: Sv), in het bijzonder in het nieuw ingevoegde artikel 27c Sv. Artikel 27c, derde lid, Sv </w:t>
      </w:r>
      <w:r w:rsidRPr="006C1876">
        <w:rPr>
          <w:rFonts w:cs="Arial"/>
          <w:sz w:val="20"/>
          <w:szCs w:val="20"/>
          <w:lang w:eastAsia="en-US"/>
        </w:rPr>
        <w:t>bepa</w:t>
      </w:r>
      <w:r>
        <w:rPr>
          <w:rFonts w:cs="Arial"/>
          <w:sz w:val="20"/>
          <w:szCs w:val="20"/>
          <w:lang w:eastAsia="en-US"/>
        </w:rPr>
        <w:t xml:space="preserve">alt dat een verdachte die is aangehouden </w:t>
      </w:r>
      <w:proofErr w:type="gramStart"/>
      <w:r>
        <w:rPr>
          <w:rFonts w:cs="Arial"/>
          <w:sz w:val="20"/>
          <w:szCs w:val="20"/>
          <w:lang w:eastAsia="en-US"/>
        </w:rPr>
        <w:t>onverwijld</w:t>
      </w:r>
      <w:proofErr w:type="gramEnd"/>
      <w:r>
        <w:rPr>
          <w:rFonts w:cs="Arial"/>
          <w:sz w:val="20"/>
          <w:szCs w:val="20"/>
          <w:lang w:eastAsia="en-US"/>
        </w:rPr>
        <w:t xml:space="preserve"> na zijn aanhouding doch in ieder geval voorafgaand aan zijn eerste verhoor schriftelijk mededeling wordt gedaan van de rechten, bedoeld in de onderdelen a tot en met g. Onderdeel g verwijst naar de rechten genoemd in het onderhavige besluit. </w:t>
      </w:r>
      <w:r>
        <w:rPr>
          <w:sz w:val="20"/>
          <w:szCs w:val="20"/>
        </w:rPr>
        <w:t xml:space="preserve">De reden om een deel van de rechten niet in artikel 27c, derde lid, Sv zelf aan te wijzen, maar in dit besluit heeft louter een wetstechnische reden. De in dit besluit aangewezen rechten zijn namelijk – anders dan de rechten die in artikel 27c, derde lid, Sv zijn genoemd - in het Nederlandse recht niet op het niveau van de wet geregeld. </w:t>
      </w:r>
    </w:p>
    <w:p w:rsidR="00292ECA" w:rsidRDefault="00292ECA" w:rsidP="00292ECA">
      <w:pPr>
        <w:spacing w:line="276" w:lineRule="auto"/>
        <w:rPr>
          <w:sz w:val="20"/>
          <w:szCs w:val="20"/>
        </w:rPr>
      </w:pPr>
    </w:p>
    <w:p w:rsidR="00CD6A52" w:rsidRDefault="00CD6A52" w:rsidP="00292ECA">
      <w:pPr>
        <w:spacing w:line="276" w:lineRule="auto"/>
        <w:rPr>
          <w:sz w:val="20"/>
          <w:szCs w:val="20"/>
        </w:rPr>
      </w:pPr>
    </w:p>
    <w:p w:rsidR="00292ECA" w:rsidRPr="006C1876" w:rsidRDefault="00292ECA" w:rsidP="00292ECA">
      <w:pPr>
        <w:spacing w:line="276" w:lineRule="auto"/>
        <w:rPr>
          <w:b/>
          <w:sz w:val="20"/>
          <w:szCs w:val="20"/>
        </w:rPr>
      </w:pPr>
      <w:r>
        <w:rPr>
          <w:b/>
          <w:sz w:val="20"/>
          <w:szCs w:val="20"/>
        </w:rPr>
        <w:t>Artikelsgewijs</w:t>
      </w:r>
      <w:r w:rsidRPr="006C1876">
        <w:rPr>
          <w:b/>
          <w:sz w:val="20"/>
          <w:szCs w:val="20"/>
        </w:rPr>
        <w:t xml:space="preserve"> </w:t>
      </w:r>
    </w:p>
    <w:p w:rsidR="00292ECA" w:rsidRPr="006C1876" w:rsidRDefault="00292ECA" w:rsidP="00292ECA">
      <w:pPr>
        <w:spacing w:line="276" w:lineRule="auto"/>
        <w:rPr>
          <w:b/>
          <w:sz w:val="20"/>
          <w:szCs w:val="20"/>
        </w:rPr>
      </w:pPr>
    </w:p>
    <w:p w:rsidR="00292ECA" w:rsidRPr="006C1876" w:rsidRDefault="00292ECA" w:rsidP="00292ECA">
      <w:pPr>
        <w:spacing w:line="276" w:lineRule="auto"/>
        <w:rPr>
          <w:rFonts w:cs="Arial"/>
          <w:sz w:val="20"/>
          <w:szCs w:val="20"/>
          <w:lang w:eastAsia="en-US"/>
        </w:rPr>
      </w:pPr>
      <w:r w:rsidRPr="006C1876">
        <w:rPr>
          <w:rFonts w:cs="Arial"/>
          <w:b/>
          <w:sz w:val="20"/>
          <w:szCs w:val="20"/>
          <w:lang w:eastAsia="en-US"/>
        </w:rPr>
        <w:t>Artikel 1</w:t>
      </w:r>
    </w:p>
    <w:p w:rsidR="00292ECA" w:rsidRDefault="00292ECA" w:rsidP="00292ECA">
      <w:pPr>
        <w:spacing w:line="276" w:lineRule="auto"/>
        <w:rPr>
          <w:b/>
          <w:sz w:val="20"/>
          <w:szCs w:val="20"/>
        </w:rPr>
      </w:pPr>
    </w:p>
    <w:p w:rsidR="00292ECA" w:rsidRPr="00CA316E" w:rsidRDefault="00292ECA" w:rsidP="00292ECA">
      <w:pPr>
        <w:spacing w:line="276" w:lineRule="auto"/>
        <w:rPr>
          <w:sz w:val="20"/>
          <w:szCs w:val="20"/>
        </w:rPr>
      </w:pPr>
      <w:r>
        <w:rPr>
          <w:sz w:val="20"/>
          <w:szCs w:val="20"/>
        </w:rPr>
        <w:t xml:space="preserve">Artikel 1 wijst de drie rechten aan waarover de schriftelijke mededeling van rechten ten behoeve van aangehouden verdachten informatie dient te bevatten. Zoals hiervoor is aangegeven, dient de mededeling van rechten daarnaast informatie te bevatten over de in artikel 27c, derde lid, onderdelen a tot en met f bedoelde rechten. </w:t>
      </w:r>
    </w:p>
    <w:p w:rsidR="00292ECA" w:rsidRPr="00CA316E" w:rsidRDefault="00292ECA" w:rsidP="00292ECA">
      <w:pPr>
        <w:spacing w:line="276" w:lineRule="auto"/>
        <w:rPr>
          <w:sz w:val="20"/>
          <w:szCs w:val="20"/>
        </w:rPr>
      </w:pPr>
    </w:p>
    <w:p w:rsidR="00292ECA" w:rsidRDefault="00292ECA" w:rsidP="00292ECA">
      <w:pPr>
        <w:spacing w:line="276" w:lineRule="auto"/>
        <w:rPr>
          <w:sz w:val="20"/>
          <w:szCs w:val="20"/>
        </w:rPr>
      </w:pPr>
      <w:r w:rsidRPr="00CA316E">
        <w:rPr>
          <w:sz w:val="20"/>
          <w:szCs w:val="20"/>
        </w:rPr>
        <w:t>Onderdeel a</w:t>
      </w:r>
      <w:r>
        <w:rPr>
          <w:sz w:val="20"/>
          <w:szCs w:val="20"/>
        </w:rPr>
        <w:t xml:space="preserve"> verwijst naar het bepaalde in artikel 27 van de </w:t>
      </w:r>
      <w:r w:rsidRPr="00C543D4">
        <w:rPr>
          <w:sz w:val="20"/>
          <w:szCs w:val="20"/>
        </w:rPr>
        <w:t>Ambtsinstructie voor de politie, de Koninklijke Marechaussee en andere opsporingsambtenaren</w:t>
      </w:r>
      <w:r>
        <w:rPr>
          <w:sz w:val="20"/>
          <w:szCs w:val="20"/>
        </w:rPr>
        <w:t xml:space="preserve"> (hierna: de Ambtsinstructie). Dit artikel bepaalt dat de politie op verzoek van de aangehouden verdachte een familielid of huisgenoot in kennis zal stellen van de vrijheidsbeneming, tenzij het bij of </w:t>
      </w:r>
      <w:proofErr w:type="gramStart"/>
      <w:r>
        <w:rPr>
          <w:sz w:val="20"/>
          <w:szCs w:val="20"/>
        </w:rPr>
        <w:t>krachtens</w:t>
      </w:r>
      <w:proofErr w:type="gramEnd"/>
      <w:r>
        <w:rPr>
          <w:sz w:val="20"/>
          <w:szCs w:val="20"/>
        </w:rPr>
        <w:t xml:space="preserve"> het Wetboek van Strafvordering bepaalde zich hiertegen verzet. Is de verdachte minderjarig, dan doet de desbetreffende ambtenaar dit uit eigen beweging.</w:t>
      </w:r>
    </w:p>
    <w:p w:rsidR="00292ECA" w:rsidRDefault="00292ECA" w:rsidP="00292ECA">
      <w:pPr>
        <w:spacing w:line="276" w:lineRule="auto"/>
        <w:rPr>
          <w:sz w:val="20"/>
          <w:szCs w:val="20"/>
        </w:rPr>
      </w:pPr>
    </w:p>
    <w:p w:rsidR="00292ECA" w:rsidRDefault="00292ECA" w:rsidP="00292ECA">
      <w:pPr>
        <w:spacing w:line="276" w:lineRule="auto"/>
        <w:rPr>
          <w:sz w:val="20"/>
          <w:szCs w:val="20"/>
        </w:rPr>
      </w:pPr>
      <w:r>
        <w:rPr>
          <w:sz w:val="20"/>
          <w:szCs w:val="20"/>
        </w:rPr>
        <w:t xml:space="preserve">Onderdeel b verwijst naar het bepaalde in artikel </w:t>
      </w:r>
      <w:r w:rsidRPr="002F351C">
        <w:rPr>
          <w:sz w:val="20"/>
          <w:szCs w:val="20"/>
        </w:rPr>
        <w:t xml:space="preserve">36, </w:t>
      </w:r>
      <w:r>
        <w:rPr>
          <w:sz w:val="20"/>
          <w:szCs w:val="20"/>
        </w:rPr>
        <w:t xml:space="preserve">eerste lid, onderdeel b, van het op 24 april 1964 te Wenen tot stand gekomen Verdrag van Wenen </w:t>
      </w:r>
      <w:proofErr w:type="gramStart"/>
      <w:r>
        <w:rPr>
          <w:sz w:val="20"/>
          <w:szCs w:val="20"/>
        </w:rPr>
        <w:t>inzake</w:t>
      </w:r>
      <w:proofErr w:type="gramEnd"/>
      <w:r>
        <w:rPr>
          <w:sz w:val="20"/>
          <w:szCs w:val="20"/>
        </w:rPr>
        <w:t xml:space="preserve"> consulaire betrekkingen (</w:t>
      </w:r>
      <w:proofErr w:type="spellStart"/>
      <w:r>
        <w:rPr>
          <w:sz w:val="20"/>
          <w:szCs w:val="20"/>
        </w:rPr>
        <w:t>Trb</w:t>
      </w:r>
      <w:proofErr w:type="spellEnd"/>
      <w:r>
        <w:rPr>
          <w:sz w:val="20"/>
          <w:szCs w:val="20"/>
        </w:rPr>
        <w:t xml:space="preserve">. 1981, 143). Hierin is bepaald dat </w:t>
      </w:r>
      <w:bookmarkStart w:id="2" w:name="VertalingNL_VDRTKS1191016_HoofdstukII_AF"/>
      <w:bookmarkEnd w:id="2"/>
      <w:r>
        <w:rPr>
          <w:sz w:val="20"/>
          <w:szCs w:val="20"/>
        </w:rPr>
        <w:t xml:space="preserve">indien een onderdaan van een andere staat van zijn vrijheid is beroofd, het consulaat </w:t>
      </w:r>
      <w:r>
        <w:rPr>
          <w:sz w:val="20"/>
          <w:szCs w:val="20"/>
        </w:rPr>
        <w:lastRenderedPageBreak/>
        <w:t xml:space="preserve">van het land van herkomst hiervan </w:t>
      </w:r>
      <w:proofErr w:type="gramStart"/>
      <w:r>
        <w:rPr>
          <w:sz w:val="20"/>
          <w:szCs w:val="20"/>
        </w:rPr>
        <w:t>onverwijld</w:t>
      </w:r>
      <w:proofErr w:type="gramEnd"/>
      <w:r>
        <w:rPr>
          <w:sz w:val="20"/>
          <w:szCs w:val="20"/>
        </w:rPr>
        <w:t xml:space="preserve"> in kennis wordt gesteld, indien de betrokkene daarom verzoekt. </w:t>
      </w:r>
    </w:p>
    <w:p w:rsidR="00292ECA" w:rsidRDefault="00292ECA" w:rsidP="00292ECA">
      <w:pPr>
        <w:spacing w:line="276" w:lineRule="auto"/>
        <w:rPr>
          <w:sz w:val="20"/>
          <w:szCs w:val="20"/>
        </w:rPr>
      </w:pPr>
    </w:p>
    <w:p w:rsidR="00292ECA" w:rsidRPr="00CA316E" w:rsidRDefault="00292ECA" w:rsidP="00292ECA">
      <w:pPr>
        <w:spacing w:line="276" w:lineRule="auto"/>
        <w:rPr>
          <w:sz w:val="20"/>
          <w:szCs w:val="20"/>
        </w:rPr>
      </w:pPr>
      <w:r>
        <w:rPr>
          <w:sz w:val="20"/>
          <w:szCs w:val="20"/>
        </w:rPr>
        <w:t xml:space="preserve">Onderdeel c verwijst naar het bepaalde in artikel 32 van de Ambtsinstructie. Hierin is – kort gezegd - bepaald dat overleg wordt gevoerd met een arts indien de ingesloten om medische bijstand of medicijnen vraagt. </w:t>
      </w:r>
    </w:p>
    <w:p w:rsidR="00292ECA" w:rsidRDefault="00292ECA" w:rsidP="00292ECA">
      <w:pPr>
        <w:spacing w:line="276" w:lineRule="auto"/>
        <w:rPr>
          <w:b/>
          <w:sz w:val="20"/>
          <w:szCs w:val="20"/>
        </w:rPr>
      </w:pPr>
    </w:p>
    <w:p w:rsidR="00292ECA" w:rsidRPr="006C1876" w:rsidRDefault="00292ECA" w:rsidP="00292ECA">
      <w:pPr>
        <w:spacing w:line="276" w:lineRule="auto"/>
        <w:rPr>
          <w:sz w:val="20"/>
          <w:szCs w:val="20"/>
        </w:rPr>
      </w:pPr>
      <w:r w:rsidRPr="006C1876">
        <w:rPr>
          <w:b/>
          <w:sz w:val="20"/>
          <w:szCs w:val="20"/>
        </w:rPr>
        <w:t xml:space="preserve">Artikelen </w:t>
      </w:r>
      <w:r>
        <w:rPr>
          <w:b/>
          <w:sz w:val="20"/>
          <w:szCs w:val="20"/>
        </w:rPr>
        <w:t>2</w:t>
      </w:r>
      <w:r w:rsidRPr="006C1876">
        <w:rPr>
          <w:b/>
          <w:sz w:val="20"/>
          <w:szCs w:val="20"/>
        </w:rPr>
        <w:t xml:space="preserve"> en </w:t>
      </w:r>
      <w:r>
        <w:rPr>
          <w:b/>
          <w:sz w:val="20"/>
          <w:szCs w:val="20"/>
        </w:rPr>
        <w:t>3</w:t>
      </w:r>
    </w:p>
    <w:p w:rsidR="00292ECA" w:rsidRPr="006C1876" w:rsidRDefault="00292ECA" w:rsidP="00292ECA">
      <w:pPr>
        <w:spacing w:line="276" w:lineRule="auto"/>
        <w:rPr>
          <w:sz w:val="20"/>
          <w:szCs w:val="20"/>
        </w:rPr>
      </w:pPr>
    </w:p>
    <w:p w:rsidR="00292ECA" w:rsidRDefault="00292ECA" w:rsidP="00292ECA">
      <w:pPr>
        <w:spacing w:line="276" w:lineRule="auto"/>
        <w:rPr>
          <w:sz w:val="20"/>
          <w:szCs w:val="20"/>
        </w:rPr>
      </w:pPr>
      <w:r w:rsidRPr="006C1876">
        <w:rPr>
          <w:sz w:val="20"/>
          <w:szCs w:val="20"/>
        </w:rPr>
        <w:t>Dit zijn gebruikelijke slotbepalingen. Vanwege de onderlinge samenhang tussen de bepalingen in dit besluit</w:t>
      </w:r>
      <w:r>
        <w:rPr>
          <w:sz w:val="20"/>
          <w:szCs w:val="20"/>
        </w:rPr>
        <w:t xml:space="preserve"> en die van de wet tot </w:t>
      </w:r>
      <w:proofErr w:type="gramStart"/>
      <w:r>
        <w:rPr>
          <w:sz w:val="20"/>
          <w:szCs w:val="20"/>
        </w:rPr>
        <w:t>implementatie</w:t>
      </w:r>
      <w:proofErr w:type="gramEnd"/>
      <w:r>
        <w:rPr>
          <w:sz w:val="20"/>
          <w:szCs w:val="20"/>
        </w:rPr>
        <w:t xml:space="preserve"> van</w:t>
      </w:r>
      <w:r w:rsidRPr="00FC358F">
        <w:rPr>
          <w:rFonts w:cs="Arial"/>
          <w:sz w:val="20"/>
          <w:szCs w:val="20"/>
          <w:lang w:eastAsia="en-US"/>
        </w:rPr>
        <w:t xml:space="preserve"> </w:t>
      </w:r>
      <w:r>
        <w:rPr>
          <w:rFonts w:cs="Arial"/>
          <w:sz w:val="20"/>
          <w:szCs w:val="20"/>
          <w:lang w:eastAsia="en-US"/>
        </w:rPr>
        <w:t xml:space="preserve">de </w:t>
      </w:r>
      <w:r w:rsidRPr="00136768">
        <w:rPr>
          <w:rFonts w:cs="Arial"/>
          <w:sz w:val="20"/>
          <w:szCs w:val="20"/>
          <w:lang w:eastAsia="en-US"/>
        </w:rPr>
        <w:t>richtlijn</w:t>
      </w:r>
      <w:r w:rsidRPr="006C1876">
        <w:rPr>
          <w:sz w:val="20"/>
          <w:szCs w:val="20"/>
        </w:rPr>
        <w:t xml:space="preserve">, is ervoor gekozen om </w:t>
      </w:r>
      <w:r>
        <w:rPr>
          <w:sz w:val="20"/>
          <w:szCs w:val="20"/>
        </w:rPr>
        <w:t xml:space="preserve">de inwerkingtreding van dit besluit bij koninklijk besluit vast te stellen. Aldus kunnen de </w:t>
      </w:r>
      <w:r w:rsidRPr="006C1876">
        <w:rPr>
          <w:sz w:val="20"/>
          <w:szCs w:val="20"/>
        </w:rPr>
        <w:t xml:space="preserve">bepalingen </w:t>
      </w:r>
      <w:r>
        <w:rPr>
          <w:sz w:val="20"/>
          <w:szCs w:val="20"/>
        </w:rPr>
        <w:t xml:space="preserve">van dit besluit en van de wet tot </w:t>
      </w:r>
      <w:proofErr w:type="gramStart"/>
      <w:r>
        <w:rPr>
          <w:sz w:val="20"/>
          <w:szCs w:val="20"/>
        </w:rPr>
        <w:t>implementatie</w:t>
      </w:r>
      <w:proofErr w:type="gramEnd"/>
      <w:r>
        <w:rPr>
          <w:sz w:val="20"/>
          <w:szCs w:val="20"/>
        </w:rPr>
        <w:t xml:space="preserve"> van de richtlijn </w:t>
      </w:r>
      <w:r w:rsidRPr="006C1876">
        <w:rPr>
          <w:sz w:val="20"/>
          <w:szCs w:val="20"/>
        </w:rPr>
        <w:t>op hetzelf</w:t>
      </w:r>
      <w:r>
        <w:rPr>
          <w:sz w:val="20"/>
          <w:szCs w:val="20"/>
        </w:rPr>
        <w:t xml:space="preserve">de tijdstip in werking </w:t>
      </w:r>
      <w:r w:rsidRPr="006C1876">
        <w:rPr>
          <w:sz w:val="20"/>
          <w:szCs w:val="20"/>
        </w:rPr>
        <w:t>treden.</w:t>
      </w:r>
    </w:p>
    <w:p w:rsidR="00292ECA" w:rsidRDefault="00292ECA" w:rsidP="00292ECA">
      <w:pPr>
        <w:spacing w:line="276" w:lineRule="auto"/>
        <w:rPr>
          <w:sz w:val="20"/>
          <w:szCs w:val="20"/>
        </w:rPr>
      </w:pPr>
    </w:p>
    <w:p w:rsidR="00292ECA" w:rsidRDefault="00292ECA" w:rsidP="00292ECA">
      <w:pPr>
        <w:spacing w:line="276" w:lineRule="auto"/>
        <w:rPr>
          <w:sz w:val="20"/>
          <w:szCs w:val="20"/>
        </w:rPr>
      </w:pPr>
    </w:p>
    <w:p w:rsidR="00A52261" w:rsidRDefault="00A52261" w:rsidP="00292ECA">
      <w:pPr>
        <w:spacing w:line="276" w:lineRule="auto"/>
        <w:rPr>
          <w:sz w:val="20"/>
          <w:szCs w:val="20"/>
        </w:rPr>
      </w:pPr>
    </w:p>
    <w:p w:rsidR="00A52261" w:rsidRDefault="00A52261" w:rsidP="00292ECA">
      <w:pPr>
        <w:spacing w:line="276" w:lineRule="auto"/>
        <w:rPr>
          <w:sz w:val="20"/>
          <w:szCs w:val="20"/>
        </w:rPr>
      </w:pPr>
    </w:p>
    <w:p w:rsidR="00292ECA" w:rsidRPr="006C1876" w:rsidRDefault="00292ECA" w:rsidP="00292ECA">
      <w:pPr>
        <w:spacing w:line="276" w:lineRule="auto"/>
        <w:rPr>
          <w:sz w:val="20"/>
          <w:szCs w:val="20"/>
        </w:rPr>
      </w:pPr>
      <w:r w:rsidRPr="006C1876">
        <w:rPr>
          <w:sz w:val="20"/>
          <w:szCs w:val="20"/>
        </w:rPr>
        <w:t>De Minister van Veiligheid en Justitie,</w:t>
      </w:r>
    </w:p>
    <w:p w:rsidR="00292ECA" w:rsidRPr="006C1876" w:rsidRDefault="00292ECA" w:rsidP="00292ECA">
      <w:pPr>
        <w:spacing w:line="276" w:lineRule="auto"/>
        <w:rPr>
          <w:sz w:val="20"/>
          <w:szCs w:val="20"/>
        </w:rPr>
      </w:pPr>
    </w:p>
    <w:p w:rsidR="00292ECA" w:rsidRDefault="00292ECA" w:rsidP="00292ECA">
      <w:pPr>
        <w:spacing w:line="276" w:lineRule="auto"/>
        <w:rPr>
          <w:sz w:val="20"/>
          <w:szCs w:val="20"/>
        </w:rPr>
      </w:pPr>
    </w:p>
    <w:p w:rsidR="00292ECA" w:rsidRDefault="00292ECA" w:rsidP="00292ECA">
      <w:pPr>
        <w:spacing w:line="276" w:lineRule="auto"/>
        <w:rPr>
          <w:sz w:val="20"/>
          <w:szCs w:val="20"/>
        </w:rPr>
      </w:pPr>
    </w:p>
    <w:sectPr w:rsidR="00292ECA" w:rsidSect="00895CFA">
      <w:headerReference w:type="even" r:id="rId13"/>
      <w:footerReference w:type="default" r:id="rId14"/>
      <w:type w:val="continuous"/>
      <w:pgSz w:w="11906" w:h="16838" w:code="9"/>
      <w:pgMar w:top="1134" w:right="1758" w:bottom="1758" w:left="2041" w:header="2398" w:footer="62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ECA" w:rsidRDefault="00292ECA">
      <w:r>
        <w:separator/>
      </w:r>
    </w:p>
    <w:p w:rsidR="00292ECA" w:rsidRDefault="00292ECA"/>
    <w:p w:rsidR="00292ECA" w:rsidRDefault="00292ECA"/>
    <w:p w:rsidR="00292ECA" w:rsidRDefault="00292ECA"/>
  </w:endnote>
  <w:endnote w:type="continuationSeparator" w:id="0">
    <w:p w:rsidR="00292ECA" w:rsidRDefault="00292ECA">
      <w:r>
        <w:continuationSeparator/>
      </w:r>
    </w:p>
    <w:p w:rsidR="00292ECA" w:rsidRDefault="00292ECA"/>
    <w:p w:rsidR="00292ECA" w:rsidRDefault="00292ECA"/>
    <w:p w:rsidR="00292ECA" w:rsidRDefault="00292E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IX Barcode">
    <w:altName w:val="Courier New"/>
    <w:charset w:val="00"/>
    <w:family w:val="swiss"/>
    <w:pitch w:val="variable"/>
    <w:sig w:usb0="80000003" w:usb1="00000000"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3C7F6B" w:rsidRDefault="003C7F6B">
    <w:pPr>
      <w:pStyle w:val="Voettekst"/>
    </w:pPr>
  </w:p>
  <w:p w:rsidR="003C7F6B" w:rsidRDefault="003C7F6B"/>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Default="003C7F6B">
          <w:pPr>
            <w:pStyle w:val="Huisstijl-Rubricering"/>
          </w:pPr>
          <w:r>
            <w:t>VERTROUWELIJK</w:t>
          </w:r>
        </w:p>
      </w:tc>
      <w:tc>
        <w:tcPr>
          <w:tcW w:w="2148" w:type="dxa"/>
        </w:tcPr>
        <w:p w:rsidR="003C7F6B" w:rsidRDefault="003C7F6B">
          <w:pPr>
            <w:pStyle w:val="Huisstijl-Paginanummering"/>
          </w:pPr>
          <w:r>
            <w:rPr>
              <w:rStyle w:val="Huisstijl-GegevenCharChar"/>
            </w:rPr>
            <w:t>Pagina  van</w:t>
          </w:r>
          <w:r>
            <w:t xml:space="preserve"> </w:t>
          </w:r>
          <w:fldSimple w:instr=" NUMPAGES   \* MERGEFORMAT ">
            <w:r w:rsidR="00292ECA">
              <w:t>1</w:t>
            </w:r>
          </w:fldSimple>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Default="003C7F6B">
          <w:pPr>
            <w:pStyle w:val="Huisstijl-Rubricering"/>
          </w:pPr>
          <w:r>
            <w:fldChar w:fldCharType="begin"/>
          </w:r>
          <w:r>
            <w:instrText xml:space="preserve"> DOCPROPERTY rubricering </w:instrText>
          </w:r>
          <w:r>
            <w:fldChar w:fldCharType="separate"/>
          </w:r>
          <w:r w:rsidR="00292ECA">
            <w:rPr>
              <w:b w:val="0"/>
              <w:bCs w:val="0"/>
            </w:rPr>
            <w:t>Fout! Onbekende naam voor documenteigenschap.</w:t>
          </w:r>
          <w:r>
            <w:fldChar w:fldCharType="end"/>
          </w:r>
        </w:p>
      </w:tc>
      <w:tc>
        <w:tcPr>
          <w:tcW w:w="2148" w:type="dxa"/>
        </w:tcPr>
        <w:p w:rsidR="003C7F6B" w:rsidRDefault="003C7F6B">
          <w:pPr>
            <w:pStyle w:val="Huisstijl-Paginanummering"/>
          </w:pPr>
          <w:r>
            <w:rPr>
              <w:rStyle w:val="Huisstijl-GegevenCharChar"/>
            </w:rPr>
            <w:fldChar w:fldCharType="begin"/>
          </w:r>
          <w:r>
            <w:rPr>
              <w:rStyle w:val="Huisstijl-GegevenCharChar"/>
            </w:rPr>
            <w:instrText xml:space="preserve"> DOCPROPERTY _pagina </w:instrText>
          </w:r>
          <w:r>
            <w:rPr>
              <w:rStyle w:val="Huisstijl-GegevenCharChar"/>
            </w:rPr>
            <w:fldChar w:fldCharType="separate"/>
          </w:r>
          <w:r w:rsidR="00292ECA">
            <w:rPr>
              <w:rStyle w:val="Huisstijl-GegevenCharChar"/>
              <w:b/>
              <w:bCs/>
            </w:rPr>
            <w:t>Fout! Onbekende naam voor documenteigenschap.</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sidR="00292ECA">
            <w:rPr>
              <w:rStyle w:val="Huisstijl-GegevenCharChar"/>
            </w:rPr>
            <w:t>1</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DOCPROPERTY _van </w:instrText>
          </w:r>
          <w:r>
            <w:rPr>
              <w:rStyle w:val="Huisstijl-GegevenCharChar"/>
            </w:rPr>
            <w:fldChar w:fldCharType="separate"/>
          </w:r>
          <w:r w:rsidR="00292ECA">
            <w:rPr>
              <w:rStyle w:val="Huisstijl-GegevenCharChar"/>
              <w:b/>
              <w:bCs/>
            </w:rPr>
            <w:t>Fout! Onbekende naam voor documenteigenschap.</w:t>
          </w:r>
          <w:r>
            <w:rPr>
              <w:rStyle w:val="Huisstijl-GegevenCharChar"/>
            </w:rPr>
            <w:fldChar w:fldCharType="end"/>
          </w:r>
          <w:r>
            <w:t xml:space="preserve"> </w:t>
          </w:r>
          <w:fldSimple w:instr=" SECTIONPAGES   \* MERGEFORMAT ">
            <w:r w:rsidR="00292ECA">
              <w:t>1</w:t>
            </w:r>
          </w:fldSimple>
        </w:p>
      </w:tc>
    </w:tr>
  </w:tbl>
  <w:p w:rsidR="003C7F6B" w:rsidRDefault="003C7F6B">
    <w:pPr>
      <w:pStyle w:val="Voettekst"/>
      <w:spacing w:line="240"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Huisstijl-Paginanummering"/>
      <w:rPr>
        <w:sz w:val="2"/>
      </w:rPr>
    </w:pPr>
  </w:p>
  <w:p w:rsidR="003C7F6B" w:rsidRDefault="003C7F6B">
    <w:pPr>
      <w:pStyle w:val="Voettekst"/>
      <w:spacing w:line="240"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Voettekst"/>
      <w:spacing w:line="240" w:lineRule="auto"/>
      <w:rPr>
        <w:sz w:val="2"/>
        <w:szCs w:val="2"/>
      </w:rPr>
    </w:pPr>
  </w:p>
  <w:p w:rsidR="003C7F6B" w:rsidRDefault="003C7F6B">
    <w:pPr>
      <w:jc w:val="right"/>
      <w:rPr>
        <w:rStyle w:val="Huisstijl-GegevenCharChar"/>
      </w:rPr>
    </w:pPr>
    <w:r>
      <w:rPr>
        <w:rStyle w:val="Huisstijl-GegevenCharChar"/>
      </w:rPr>
      <w:fldChar w:fldCharType="begin"/>
    </w:r>
    <w:r>
      <w:rPr>
        <w:rStyle w:val="Huisstijl-GegevenCharChar"/>
      </w:rPr>
      <w:instrText xml:space="preserve"> PAGE </w:instrText>
    </w:r>
    <w:r>
      <w:rPr>
        <w:rStyle w:val="Huisstijl-GegevenCharChar"/>
      </w:rPr>
      <w:fldChar w:fldCharType="separate"/>
    </w:r>
    <w:r w:rsidR="007C2CF7">
      <w:rPr>
        <w:rStyle w:val="Huisstijl-GegevenCharChar"/>
      </w:rPr>
      <w:t>4</w:t>
    </w:r>
    <w:r>
      <w:rPr>
        <w:rStyle w:val="Huisstijl-GegevenCharCha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ECA" w:rsidRDefault="00292ECA">
      <w:r>
        <w:separator/>
      </w:r>
    </w:p>
  </w:footnote>
  <w:footnote w:type="continuationSeparator" w:id="0">
    <w:p w:rsidR="00292ECA" w:rsidRDefault="00292E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Koptekst"/>
    </w:pPr>
  </w:p>
  <w:p w:rsidR="003C7F6B" w:rsidRDefault="003C7F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292ECA">
    <w:pPr>
      <w:pStyle w:val="Koptekst"/>
    </w:pPr>
    <w:r>
      <w:rPr>
        <w:noProof/>
        <w:sz w:val="20"/>
      </w:rPr>
      <w:drawing>
        <wp:anchor distT="0" distB="0" distL="114300" distR="114300" simplePos="0" relativeHeight="251657728" behindDoc="0" locked="1" layoutInCell="1" allowOverlap="1">
          <wp:simplePos x="0" y="0"/>
          <wp:positionH relativeFrom="page">
            <wp:posOffset>3810</wp:posOffset>
          </wp:positionH>
          <wp:positionV relativeFrom="page">
            <wp:posOffset>0</wp:posOffset>
          </wp:positionV>
          <wp:extent cx="6432550" cy="2393950"/>
          <wp:effectExtent l="0" t="0" r="6350" b="6350"/>
          <wp:wrapNone/>
          <wp:docPr id="122" name="Afbeelding 122" descr="wijwillemalexan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ijwillemalexan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0" cy="2393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60E8"/>
    <w:lvl w:ilvl="0">
      <w:start w:val="1"/>
      <w:numFmt w:val="decimal"/>
      <w:lvlText w:val="%1."/>
      <w:lvlJc w:val="left"/>
      <w:pPr>
        <w:tabs>
          <w:tab w:val="num" w:pos="1492"/>
        </w:tabs>
        <w:ind w:left="1492" w:hanging="360"/>
      </w:pPr>
    </w:lvl>
  </w:abstractNum>
  <w:abstractNum w:abstractNumId="1">
    <w:nsid w:val="FFFFFF7D"/>
    <w:multiLevelType w:val="singleLevel"/>
    <w:tmpl w:val="C346CD82"/>
    <w:lvl w:ilvl="0">
      <w:start w:val="1"/>
      <w:numFmt w:val="decimal"/>
      <w:lvlText w:val="%1."/>
      <w:lvlJc w:val="left"/>
      <w:pPr>
        <w:tabs>
          <w:tab w:val="num" w:pos="1209"/>
        </w:tabs>
        <w:ind w:left="1209" w:hanging="360"/>
      </w:pPr>
    </w:lvl>
  </w:abstractNum>
  <w:abstractNum w:abstractNumId="2">
    <w:nsid w:val="FFFFFF7E"/>
    <w:multiLevelType w:val="singleLevel"/>
    <w:tmpl w:val="908A9F5A"/>
    <w:lvl w:ilvl="0">
      <w:start w:val="1"/>
      <w:numFmt w:val="decimal"/>
      <w:lvlText w:val="%1."/>
      <w:lvlJc w:val="left"/>
      <w:pPr>
        <w:tabs>
          <w:tab w:val="num" w:pos="926"/>
        </w:tabs>
        <w:ind w:left="926" w:hanging="360"/>
      </w:pPr>
    </w:lvl>
  </w:abstractNum>
  <w:abstractNum w:abstractNumId="3">
    <w:nsid w:val="FFFFFF7F"/>
    <w:multiLevelType w:val="singleLevel"/>
    <w:tmpl w:val="052E2706"/>
    <w:lvl w:ilvl="0">
      <w:start w:val="1"/>
      <w:numFmt w:val="decimal"/>
      <w:lvlText w:val="%1."/>
      <w:lvlJc w:val="left"/>
      <w:pPr>
        <w:tabs>
          <w:tab w:val="num" w:pos="643"/>
        </w:tabs>
        <w:ind w:left="643" w:hanging="360"/>
      </w:pPr>
    </w:lvl>
  </w:abstractNum>
  <w:abstractNum w:abstractNumId="4">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nsid w:val="FFFFFF88"/>
    <w:multiLevelType w:val="singleLevel"/>
    <w:tmpl w:val="B798BA92"/>
    <w:lvl w:ilvl="0">
      <w:start w:val="1"/>
      <w:numFmt w:val="decimal"/>
      <w:lvlText w:val="%1."/>
      <w:lvlJc w:val="left"/>
      <w:pPr>
        <w:tabs>
          <w:tab w:val="num" w:pos="360"/>
        </w:tabs>
        <w:ind w:left="360" w:hanging="360"/>
      </w:pPr>
    </w:lvl>
  </w:abstractNum>
  <w:abstractNum w:abstractNumId="9">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3">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6">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nsid w:val="3F2C4A26"/>
    <w:multiLevelType w:val="multilevel"/>
    <w:tmpl w:val="A2ECAAD8"/>
    <w:lvl w:ilvl="0">
      <w:start w:val="1"/>
      <w:numFmt w:val="decimal"/>
      <w:pStyle w:val="kop1justitie"/>
      <w:lvlText w:val="%1."/>
      <w:lvlJc w:val="left"/>
      <w:pPr>
        <w:tabs>
          <w:tab w:val="num" w:pos="851"/>
        </w:tabs>
        <w:ind w:left="851" w:hanging="851"/>
      </w:pPr>
      <w:rPr>
        <w:rFonts w:ascii="Verdana" w:hAnsi="Verdana" w:hint="default"/>
        <w:b/>
        <w:i w:val="0"/>
        <w:sz w:val="30"/>
      </w:rPr>
    </w:lvl>
    <w:lvl w:ilvl="1">
      <w:start w:val="1"/>
      <w:numFmt w:val="decimal"/>
      <w:pStyle w:val="kop2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0">
    <w:nsid w:val="5ECC7F89"/>
    <w:multiLevelType w:val="multilevel"/>
    <w:tmpl w:val="81E48ACE"/>
    <w:lvl w:ilvl="0">
      <w:start w:val="1"/>
      <w:numFmt w:val="decimal"/>
      <w:pStyle w:val="opsomming-cijfersjustitie"/>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1">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2">
    <w:nsid w:val="7F4841C7"/>
    <w:multiLevelType w:val="multilevel"/>
    <w:tmpl w:val="15BE652E"/>
    <w:lvl w:ilvl="0">
      <w:start w:val="1"/>
      <w:numFmt w:val="lowerLetter"/>
      <w:pStyle w:val="opsomming-lettersjustitie"/>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abstractNumId w:val="11"/>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4"/>
  </w:num>
  <w:num w:numId="15">
    <w:abstractNumId w:val="15"/>
  </w:num>
  <w:num w:numId="16">
    <w:abstractNumId w:val="20"/>
  </w:num>
  <w:num w:numId="17">
    <w:abstractNumId w:val="17"/>
  </w:num>
  <w:num w:numId="18">
    <w:abstractNumId w:val="19"/>
  </w:num>
  <w:num w:numId="19">
    <w:abstractNumId w:val="16"/>
  </w:num>
  <w:num w:numId="20">
    <w:abstractNumId w:val="9"/>
  </w:num>
  <w:num w:numId="21">
    <w:abstractNumId w:val="22"/>
  </w:num>
  <w:num w:numId="22">
    <w:abstractNumId w:val="21"/>
  </w:num>
  <w:num w:numId="23">
    <w:abstractNumId w:val="12"/>
  </w:num>
  <w:num w:numId="24">
    <w:abstractNumId w:val="15"/>
  </w:num>
  <w:num w:numId="25">
    <w:abstractNumId w:val="20"/>
  </w:num>
  <w:num w:numId="26">
    <w:abstractNumId w:val="22"/>
  </w:num>
  <w:num w:numId="27">
    <w:abstractNumId w:val="19"/>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8" w:nlCheck="1" w:checkStyle="1"/>
  <w:activeWritingStyle w:appName="MSWord" w:lang="en-US" w:vendorID="64" w:dllVersion="131077" w:nlCheck="1" w:checkStyle="1"/>
  <w:activeWritingStyle w:appName="MSWord" w:lang="en-US" w:vendorID="64" w:dllVersion="131078" w:nlCheck="1" w:checkStyle="1"/>
  <w:activeWritingStyle w:appName="MSWord" w:lang="en-GB" w:vendorID="64" w:dllVersion="131077"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6145" style="mso-position-horizontal-relative:page;mso-position-vertical-relative:page" strokecolor="fuchsia">
      <v:stroke color="fuchsi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dres" w:val=" "/>
    <w:docVar w:name="Carma DocSys~CanReopen" w:val="0"/>
    <w:docVar w:name="Carma DocSys~XML" w:val="&lt;?xml version=&quot;1.0&quot;?&gt;_x000d__x000a_&lt;data customer=&quot;minjus&quot; profile=&quot;minjus&quot; model=&quot;wij_willem-alexander.xml&quot; country-code=&quot;31&quot; target=&quot;Microsoft Word&quot; target-version=&quot;14.0&quot; target-build=&quot;14.0.7121&quot; engine-version=&quot;2.6.10&quot; lastuser-initials=&quot;ZJ-B&quot; lastuser-name=&quot;Zuurmond J.C.M. - BD/DWJZ/SSR&quot;&gt;&lt;wijwa template=&quot;wij_willem-alexander.dot&quot; id=&quot;fb26ea6ce8b749498482ecb9e6614eaf&quot; version=&quot;1.0&quot; reopen=&quot;false&quot; lcid=&quot;1043&quot; locale=&quot;nl&quot;&gt;&lt;PAPER first=&quot;blanco&quot; other=&quot;blanco&quot;/&gt;&lt;zaak/&gt;&lt;digijust value=&quot;0&quot; formatted-value=&quot;0&quot;/&gt;&lt;documentsubtype formatted-value=&quot;Overige&quot;/&gt;&lt;documenttitel formatted-value=&quot;Wij Willem Alexander&quot;/&gt;&lt;heropend value=&quot;false&quot;/&gt;&lt;vorm value=&quot;Digitaal&quot;/&gt;&lt;ZaakLocatie/&gt;&lt;zaakkenmerk/&gt;&lt;zaaktitel/&gt;&lt;drager formatted-value=&quot;Document&quot;/&gt;&lt;documentclass value=&quot;Overige&quot; formatted-value=&quot;Overige&quot;/&gt;&lt;onderdeel/&gt;&lt;digionderdeel/&gt;&lt;documentdatum/&gt;&lt;documentomschrijving/&gt;&lt;adres/&gt;&lt;geadresseerde/&gt;&lt;land/&gt;&lt;postcode/&gt;&lt;woonplaats/&gt;&lt;titel/&gt;&lt;onderwerp/&gt;&lt;contactpersoon/&gt;&lt;directoraat/&gt;&lt;docstatus/&gt;&lt;documenttype value=&quot;Uitgaand&quot;/&gt;&lt;doctype value=&quot;Wij Willem Alexander&quot; formatted-value=&quot;Wij Willem Alexander&quot;/&gt;&lt;/wijwa&gt;&lt;/data&gt;_x000d__x000a_"/>
    <w:docVar w:name="clausule" w:val="clausule"/>
  </w:docVars>
  <w:rsids>
    <w:rsidRoot w:val="00292ECA"/>
    <w:rsid w:val="00205A87"/>
    <w:rsid w:val="00233BEC"/>
    <w:rsid w:val="00292ECA"/>
    <w:rsid w:val="003C7F6B"/>
    <w:rsid w:val="004070F2"/>
    <w:rsid w:val="006A7657"/>
    <w:rsid w:val="0078052C"/>
    <w:rsid w:val="007C2CF7"/>
    <w:rsid w:val="00895CFA"/>
    <w:rsid w:val="008D59D8"/>
    <w:rsid w:val="00977E3F"/>
    <w:rsid w:val="00A52261"/>
    <w:rsid w:val="00B340C2"/>
    <w:rsid w:val="00B60C16"/>
    <w:rsid w:val="00CD6A52"/>
    <w:rsid w:val="00D97908"/>
    <w:rsid w:val="00DD5F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horizontal-relative:page;mso-position-vertical-relative:page" strokecolor="fuchsia">
      <v:stroke color="fuchsi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semiHidden/>
    <w:rPr>
      <w:sz w:val="16"/>
      <w:szCs w:val="20"/>
    </w:rPr>
  </w:style>
  <w:style w:type="character" w:styleId="Voetnootmarkering">
    <w:name w:val="footnote reference"/>
    <w:basedOn w:val="Standaardalinea-lettertype"/>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semiHidden/>
    <w:rPr>
      <w:sz w:val="16"/>
      <w:szCs w:val="20"/>
    </w:rPr>
  </w:style>
  <w:style w:type="character" w:styleId="Voetnootmarkering">
    <w:name w:val="footnote reference"/>
    <w:basedOn w:val="Standaardalinea-lettertyp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zuurmon\AppData\Roaming\B-ware\DocSys.Web\profiles\minjus\client\folders\wij_willem-alexand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wij_willem-alexander</Template>
  <TotalTime>1</TotalTime>
  <Pages>4</Pages>
  <Words>751</Words>
  <Characters>4126</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Veiligheid en Justitie</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Zuurmond, J.C.M. - BD/DWJZ/SSR</dc:creator>
  <cp:lastModifiedBy>Jap Tjoen San, mw.</cp:lastModifiedBy>
  <cp:revision>6</cp:revision>
  <cp:lastPrinted>2008-11-03T14:08:00Z</cp:lastPrinted>
  <dcterms:created xsi:type="dcterms:W3CDTF">2014-06-25T09:17:00Z</dcterms:created>
  <dcterms:modified xsi:type="dcterms:W3CDTF">2014-06-25T09:17:00Z</dcterms:modified>
  <cp:category>Wij Willem Alexander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doc">
    <vt:lpwstr>companydoc</vt:lpwstr>
  </property>
  <property fmtid="{D5CDD505-2E9C-101B-9397-08002B2CF9AE}" pid="3" name="LogoDenyAt_logogroot">
    <vt:lpwstr>2-</vt:lpwstr>
  </property>
  <property fmtid="{D5CDD505-2E9C-101B-9397-08002B2CF9AE}" pid="4" name="LogoDenyAt_logoklein">
    <vt:lpwstr>0-</vt:lpwstr>
  </property>
  <property fmtid="{D5CDD505-2E9C-101B-9397-08002B2CF9AE}" pid="5" name="taal">
    <vt:lpwstr>taal</vt:lpwstr>
  </property>
  <property fmtid="{D5CDD505-2E9C-101B-9397-08002B2CF9AE}" pid="6" name="savename">
    <vt:lpwstr>savename</vt:lpwstr>
  </property>
  <property fmtid="{D5CDD505-2E9C-101B-9397-08002B2CF9AE}" pid="7" name="afdelingraised">
    <vt:lpwstr> </vt:lpwstr>
  </property>
  <property fmtid="{D5CDD505-2E9C-101B-9397-08002B2CF9AE}" pid="8" name="onskenmerk">
    <vt:lpwstr>onskenmerk</vt:lpwstr>
  </property>
</Properties>
</file>