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F6B" w:rsidRDefault="00A05687">
      <w:pPr>
        <w:pStyle w:val="broodtekst"/>
        <w:spacing w:line="20" w:lineRule="exact"/>
        <w:ind w:left="360"/>
      </w:pPr>
      <w:r>
        <w:rPr>
          <w:noProof/>
        </w:rPr>
        <mc:AlternateContent>
          <mc:Choice Requires="wps">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0" cy="0"/>
                <wp:effectExtent l="9525" t="9525" r="9525" b="9525"/>
                <wp:wrapNone/>
                <wp:docPr id="1" name="Carma DocSys~wijwa"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cap="flat" cmpd="sng">
                          <a:solidFill>
                            <a:srgbClr val="FF00FF"/>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05687" w:rsidRDefault="00A0568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rma DocSys~wijwa" o:spid="_x0000_s1026" type="#_x0000_t202" style="position:absolute;left:0;text-align:left;margin-left:0;margin-top:0;width:0;height:0;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" strokecolor="fuchsia">
                <v:textbox style="layout-flow:vertical;mso-layout-flow-alt:bottom-to-top">
                  <w:txbxContent>
                    <w:p w:rsidR="00A05687" w:rsidRDefault="00A05687"/>
                  </w:txbxContent>
                </v:textbox>
                <w10:wrap anchorx="page" anchory="page"/>
              </v:shape>
            </w:pict>
          </mc:Fallback>
        </mc:AlternateContent>
      </w:r>
    </w:p>
    <w:p w:rsidR="003C7F6B" w:rsidRDefault="003C7F6B">
      <w:pPr>
        <w:pStyle w:val="broodtekst"/>
      </w:pPr>
    </w:p>
    <w:p w:rsidR="003C7F6B" w:rsidRDefault="003C7F6B">
      <w:pPr>
        <w:pStyle w:val="broodtekst"/>
        <w:sectPr w:rsidR="003C7F6B" w:rsidSect="00FF589D">
          <w:headerReference w:type="even" r:id="rId9"/>
          <w:footerReference w:type="even" r:id="rId10"/>
          <w:footerReference w:type="default" r:id="rId11"/>
          <w:headerReference w:type="first" r:id="rId12"/>
          <w:footerReference w:type="first" r:id="rId13"/>
          <w:pgSz w:w="11906" w:h="16838" w:code="9"/>
          <w:pgMar w:top="4683" w:right="2818" w:bottom="1758" w:left="1588" w:header="2398" w:footer="561" w:gutter="0"/>
          <w:pgNumType w:start="1"/>
          <w:cols w:space="720"/>
          <w:titlePg/>
          <w:docGrid w:linePitch="360"/>
        </w:sectPr>
      </w:pPr>
    </w:p>
    <w:p w:rsidR="00A05687" w:rsidRDefault="00A05687" w:rsidP="00A05687">
      <w:pPr>
        <w:spacing w:line="360" w:lineRule="auto"/>
        <w:rPr>
          <w:b/>
          <w:sz w:val="20"/>
          <w:szCs w:val="20"/>
        </w:rPr>
      </w:pPr>
      <w:bookmarkStart w:id="0" w:name="cursor"/>
      <w:bookmarkEnd w:id="0"/>
    </w:p>
    <w:p w:rsidR="00427DB9" w:rsidRDefault="00427DB9" w:rsidP="00427DB9">
      <w:pPr>
        <w:spacing w:line="360" w:lineRule="auto"/>
        <w:rPr>
          <w:b/>
          <w:sz w:val="20"/>
          <w:szCs w:val="20"/>
        </w:rPr>
      </w:pPr>
      <w:r w:rsidRPr="00427DB9">
        <w:rPr>
          <w:b/>
          <w:sz w:val="20"/>
          <w:szCs w:val="20"/>
        </w:rPr>
        <w:t xml:space="preserve">Besluit </w:t>
      </w:r>
    </w:p>
    <w:p w:rsidR="00427DB9" w:rsidRPr="00427DB9" w:rsidRDefault="00427DB9" w:rsidP="00427DB9">
      <w:pPr>
        <w:spacing w:line="360" w:lineRule="auto"/>
        <w:rPr>
          <w:b/>
          <w:sz w:val="20"/>
          <w:szCs w:val="20"/>
        </w:rPr>
      </w:pPr>
      <w:proofErr w:type="gramStart"/>
      <w:r w:rsidRPr="00427DB9">
        <w:rPr>
          <w:b/>
          <w:sz w:val="20"/>
          <w:szCs w:val="20"/>
        </w:rPr>
        <w:t>tot</w:t>
      </w:r>
      <w:proofErr w:type="gramEnd"/>
      <w:r w:rsidRPr="00427DB9">
        <w:rPr>
          <w:b/>
          <w:sz w:val="20"/>
          <w:szCs w:val="20"/>
        </w:rPr>
        <w:t xml:space="preserve"> wijziging van het Besluit elektronisch proces-verbaal in verband met wijziging van de eisen aan omzetten langs elektronis</w:t>
      </w:r>
      <w:bookmarkStart w:id="1" w:name="_GoBack"/>
      <w:bookmarkEnd w:id="1"/>
      <w:r w:rsidRPr="00427DB9">
        <w:rPr>
          <w:b/>
          <w:sz w:val="20"/>
          <w:szCs w:val="20"/>
        </w:rPr>
        <w:t>che weg</w:t>
      </w:r>
    </w:p>
    <w:p w:rsidR="00427DB9" w:rsidRPr="00427DB9" w:rsidRDefault="00427DB9" w:rsidP="00427DB9">
      <w:pPr>
        <w:spacing w:line="360" w:lineRule="auto"/>
        <w:rPr>
          <w:b/>
          <w:sz w:val="20"/>
          <w:szCs w:val="20"/>
        </w:rPr>
      </w:pPr>
    </w:p>
    <w:p w:rsidR="00427DB9" w:rsidRPr="00427DB9" w:rsidRDefault="00427DB9" w:rsidP="00427DB9">
      <w:pPr>
        <w:spacing w:line="360" w:lineRule="auto"/>
        <w:rPr>
          <w:sz w:val="20"/>
          <w:szCs w:val="20"/>
        </w:rPr>
      </w:pPr>
      <w:r w:rsidRPr="00427DB9">
        <w:rPr>
          <w:sz w:val="20"/>
          <w:szCs w:val="20"/>
        </w:rPr>
        <w:t>Wij Willem-Alexander, bij de gratie Gods, Koning der Nederlanden, Prins van Oranje-Nassau, enz. enz. enz.</w:t>
      </w:r>
    </w:p>
    <w:p w:rsidR="00427DB9" w:rsidRPr="00427DB9" w:rsidRDefault="00427DB9" w:rsidP="00427DB9">
      <w:pPr>
        <w:spacing w:line="360" w:lineRule="auto"/>
        <w:rPr>
          <w:sz w:val="20"/>
          <w:szCs w:val="20"/>
        </w:rPr>
      </w:pPr>
      <w:r w:rsidRPr="00427DB9">
        <w:rPr>
          <w:sz w:val="20"/>
          <w:szCs w:val="20"/>
        </w:rPr>
        <w:t>Op de voordracht van Onze Minister van Veil</w:t>
      </w:r>
      <w:r w:rsidR="00B46CE5">
        <w:rPr>
          <w:sz w:val="20"/>
          <w:szCs w:val="20"/>
        </w:rPr>
        <w:t>igheid en Justitie van .</w:t>
      </w:r>
      <w:proofErr w:type="gramStart"/>
      <w:r w:rsidR="00B46CE5">
        <w:rPr>
          <w:sz w:val="20"/>
          <w:szCs w:val="20"/>
        </w:rPr>
        <w:t>..</w:t>
      </w:r>
      <w:proofErr w:type="gramEnd"/>
      <w:r w:rsidR="00B46CE5">
        <w:rPr>
          <w:sz w:val="20"/>
          <w:szCs w:val="20"/>
        </w:rPr>
        <w:t xml:space="preserve"> juni 2014</w:t>
      </w:r>
      <w:r w:rsidRPr="00427DB9">
        <w:rPr>
          <w:sz w:val="20"/>
          <w:szCs w:val="20"/>
        </w:rPr>
        <w:t>,</w:t>
      </w:r>
      <w:r w:rsidR="00B46CE5">
        <w:rPr>
          <w:sz w:val="20"/>
          <w:szCs w:val="20"/>
        </w:rPr>
        <w:t xml:space="preserve"> nr. 524382</w:t>
      </w:r>
      <w:r w:rsidRPr="00427DB9">
        <w:rPr>
          <w:sz w:val="20"/>
          <w:szCs w:val="20"/>
        </w:rPr>
        <w:t>;</w:t>
      </w:r>
    </w:p>
    <w:p w:rsidR="00427DB9" w:rsidRPr="00427DB9" w:rsidRDefault="00427DB9" w:rsidP="00427DB9">
      <w:pPr>
        <w:spacing w:line="360" w:lineRule="auto"/>
        <w:rPr>
          <w:sz w:val="20"/>
          <w:szCs w:val="20"/>
        </w:rPr>
      </w:pPr>
      <w:r w:rsidRPr="00427DB9">
        <w:rPr>
          <w:sz w:val="20"/>
          <w:szCs w:val="20"/>
        </w:rPr>
        <w:t>Gelet op artikel 153, tweede lid, van het Wetboek van Strafvordering en artikel 9, eerste lid, van de Archiefwet 1995;</w:t>
      </w:r>
    </w:p>
    <w:p w:rsidR="00427DB9" w:rsidRPr="00427DB9" w:rsidRDefault="00427DB9" w:rsidP="00427DB9">
      <w:pPr>
        <w:spacing w:line="360" w:lineRule="auto"/>
        <w:rPr>
          <w:sz w:val="20"/>
          <w:szCs w:val="20"/>
        </w:rPr>
      </w:pPr>
      <w:r w:rsidRPr="00427DB9">
        <w:rPr>
          <w:sz w:val="20"/>
          <w:szCs w:val="20"/>
        </w:rPr>
        <w:t>De Afdeling advisering van de Raad van State gehoord, advies van .</w:t>
      </w:r>
      <w:proofErr w:type="gramStart"/>
      <w:r w:rsidRPr="00427DB9">
        <w:rPr>
          <w:sz w:val="20"/>
          <w:szCs w:val="20"/>
        </w:rPr>
        <w:t>..</w:t>
      </w:r>
      <w:proofErr w:type="gramEnd"/>
      <w:r w:rsidRPr="00427DB9">
        <w:rPr>
          <w:sz w:val="20"/>
          <w:szCs w:val="20"/>
        </w:rPr>
        <w:t xml:space="preserve"> 2013, nr. ...;</w:t>
      </w:r>
    </w:p>
    <w:p w:rsidR="00427DB9" w:rsidRPr="00427DB9" w:rsidRDefault="00427DB9" w:rsidP="00427DB9">
      <w:pPr>
        <w:spacing w:line="360" w:lineRule="auto"/>
        <w:rPr>
          <w:sz w:val="20"/>
          <w:szCs w:val="20"/>
        </w:rPr>
      </w:pPr>
      <w:r w:rsidRPr="00427DB9">
        <w:rPr>
          <w:sz w:val="20"/>
          <w:szCs w:val="20"/>
        </w:rPr>
        <w:t>Gezien het nader rapport van Onze Minister van Veiligheid en Justitie van .</w:t>
      </w:r>
      <w:proofErr w:type="gramStart"/>
      <w:r w:rsidRPr="00427DB9">
        <w:rPr>
          <w:sz w:val="20"/>
          <w:szCs w:val="20"/>
        </w:rPr>
        <w:t>.........</w:t>
      </w:r>
      <w:proofErr w:type="gramEnd"/>
      <w:r w:rsidRPr="00427DB9">
        <w:rPr>
          <w:sz w:val="20"/>
          <w:szCs w:val="20"/>
        </w:rPr>
        <w:t>;</w:t>
      </w:r>
    </w:p>
    <w:p w:rsidR="00427DB9" w:rsidRPr="00427DB9" w:rsidRDefault="00427DB9" w:rsidP="00427DB9">
      <w:pPr>
        <w:spacing w:line="360" w:lineRule="auto"/>
        <w:rPr>
          <w:sz w:val="20"/>
          <w:szCs w:val="20"/>
        </w:rPr>
      </w:pPr>
    </w:p>
    <w:p w:rsidR="00427DB9" w:rsidRPr="00427DB9" w:rsidRDefault="00427DB9" w:rsidP="00427DB9">
      <w:pPr>
        <w:spacing w:line="360" w:lineRule="auto"/>
        <w:rPr>
          <w:sz w:val="20"/>
          <w:szCs w:val="20"/>
        </w:rPr>
      </w:pPr>
      <w:r w:rsidRPr="00427DB9">
        <w:rPr>
          <w:sz w:val="20"/>
          <w:szCs w:val="20"/>
        </w:rPr>
        <w:t>Hebben goedgevonden en verstaan:</w:t>
      </w:r>
    </w:p>
    <w:p w:rsidR="00427DB9" w:rsidRPr="00427DB9" w:rsidRDefault="00427DB9" w:rsidP="00427DB9">
      <w:pPr>
        <w:spacing w:line="360" w:lineRule="auto"/>
        <w:rPr>
          <w:rFonts w:eastAsiaTheme="minorHAnsi" w:cstheme="minorBidi"/>
          <w:b/>
          <w:sz w:val="20"/>
          <w:szCs w:val="20"/>
          <w:lang w:eastAsia="en-US"/>
        </w:rPr>
      </w:pPr>
    </w:p>
    <w:p w:rsidR="00427DB9" w:rsidRPr="00427DB9" w:rsidRDefault="00427DB9" w:rsidP="00427DB9">
      <w:pPr>
        <w:spacing w:line="360" w:lineRule="auto"/>
        <w:rPr>
          <w:rFonts w:eastAsiaTheme="minorHAnsi" w:cstheme="minorBidi"/>
          <w:b/>
          <w:sz w:val="20"/>
          <w:szCs w:val="20"/>
          <w:lang w:eastAsia="en-US"/>
        </w:rPr>
      </w:pPr>
      <w:r w:rsidRPr="00427DB9">
        <w:rPr>
          <w:rFonts w:eastAsiaTheme="minorHAnsi" w:cstheme="minorBidi"/>
          <w:b/>
          <w:sz w:val="20"/>
          <w:szCs w:val="20"/>
          <w:lang w:eastAsia="en-US"/>
        </w:rPr>
        <w:t>Artikel I</w:t>
      </w:r>
    </w:p>
    <w:p w:rsidR="00427DB9" w:rsidRPr="00427DB9" w:rsidRDefault="00427DB9" w:rsidP="00427DB9">
      <w:pPr>
        <w:spacing w:line="360" w:lineRule="auto"/>
        <w:rPr>
          <w:rFonts w:eastAsiaTheme="minorHAnsi" w:cstheme="minorBidi"/>
          <w:b/>
          <w:sz w:val="20"/>
          <w:szCs w:val="20"/>
          <w:lang w:eastAsia="en-US"/>
        </w:rPr>
      </w:pPr>
    </w:p>
    <w:p w:rsidR="00427DB9" w:rsidRPr="00427DB9" w:rsidRDefault="00427DB9" w:rsidP="00427DB9">
      <w:pPr>
        <w:spacing w:line="360" w:lineRule="auto"/>
        <w:rPr>
          <w:sz w:val="20"/>
          <w:szCs w:val="20"/>
        </w:rPr>
      </w:pPr>
      <w:r w:rsidRPr="00427DB9">
        <w:rPr>
          <w:sz w:val="20"/>
          <w:szCs w:val="20"/>
        </w:rPr>
        <w:t>Het Besluit elektronisch proces-verbaal wordt als volgt gewijzigd:</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A</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Nadat voor de tekst van artikel 1 de aanduiding “1.” wordt geplaatst wordt artikel 1 als volgt gewijzigd:</w:t>
      </w:r>
    </w:p>
    <w:p w:rsidR="00427DB9" w:rsidRPr="00427DB9" w:rsidRDefault="00427DB9" w:rsidP="00427DB9">
      <w:pPr>
        <w:numPr>
          <w:ilvl w:val="0"/>
          <w:numId w:val="30"/>
        </w:numPr>
        <w:spacing w:after="200" w:line="360" w:lineRule="auto"/>
        <w:contextualSpacing/>
        <w:rPr>
          <w:rFonts w:eastAsiaTheme="minorHAnsi" w:cstheme="minorBidi"/>
          <w:sz w:val="20"/>
          <w:szCs w:val="20"/>
          <w:lang w:eastAsia="en-US"/>
        </w:rPr>
      </w:pPr>
      <w:r w:rsidRPr="00427DB9">
        <w:rPr>
          <w:rFonts w:eastAsiaTheme="minorHAnsi" w:cstheme="minorBidi"/>
          <w:sz w:val="20"/>
          <w:szCs w:val="20"/>
          <w:lang w:eastAsia="en-US"/>
        </w:rPr>
        <w:t>Het eerste lid (nieuw) wordt als volgt gewijzigd:</w:t>
      </w:r>
    </w:p>
    <w:p w:rsidR="00427DB9" w:rsidRPr="00427DB9" w:rsidRDefault="00427DB9" w:rsidP="00427DB9">
      <w:pPr>
        <w:numPr>
          <w:ilvl w:val="0"/>
          <w:numId w:val="31"/>
        </w:numPr>
        <w:spacing w:after="200" w:line="360" w:lineRule="auto"/>
        <w:contextualSpacing/>
        <w:rPr>
          <w:rFonts w:eastAsiaTheme="minorHAnsi" w:cstheme="minorBidi"/>
          <w:sz w:val="20"/>
          <w:szCs w:val="20"/>
          <w:lang w:eastAsia="en-US"/>
        </w:rPr>
      </w:pPr>
      <w:r w:rsidRPr="00427DB9">
        <w:rPr>
          <w:rFonts w:eastAsiaTheme="minorHAnsi" w:cstheme="minorBidi"/>
          <w:sz w:val="20"/>
          <w:szCs w:val="20"/>
          <w:lang w:eastAsia="en-US"/>
        </w:rPr>
        <w:t>Onderdeel b vervalt.</w:t>
      </w:r>
    </w:p>
    <w:p w:rsidR="00427DB9" w:rsidRPr="00427DB9" w:rsidRDefault="00427DB9" w:rsidP="00427DB9">
      <w:pPr>
        <w:numPr>
          <w:ilvl w:val="0"/>
          <w:numId w:val="31"/>
        </w:numPr>
        <w:spacing w:after="200" w:line="360" w:lineRule="auto"/>
        <w:contextualSpacing/>
        <w:rPr>
          <w:rFonts w:eastAsiaTheme="minorHAnsi" w:cstheme="minorBidi"/>
          <w:sz w:val="20"/>
          <w:szCs w:val="20"/>
          <w:lang w:eastAsia="en-US"/>
        </w:rPr>
      </w:pPr>
      <w:r w:rsidRPr="00427DB9">
        <w:rPr>
          <w:rFonts w:eastAsiaTheme="minorHAnsi" w:cstheme="minorBidi"/>
          <w:sz w:val="20"/>
          <w:szCs w:val="20"/>
          <w:lang w:eastAsia="en-US"/>
        </w:rPr>
        <w:t xml:space="preserve">Na verlettering van de onderdelen c tot en met h tot onderdelen b tot en met g wordt in onderdeel g (nieuw) “of ontvangt of een digitaal afschrift </w:t>
      </w:r>
      <w:proofErr w:type="gramStart"/>
      <w:r w:rsidRPr="00427DB9">
        <w:rPr>
          <w:rFonts w:eastAsiaTheme="minorHAnsi" w:cstheme="minorBidi"/>
          <w:sz w:val="20"/>
          <w:szCs w:val="20"/>
          <w:lang w:eastAsia="en-US"/>
        </w:rPr>
        <w:lastRenderedPageBreak/>
        <w:t>vervaardigt</w:t>
      </w:r>
      <w:proofErr w:type="gramEnd"/>
      <w:r w:rsidRPr="00427DB9">
        <w:rPr>
          <w:rFonts w:eastAsiaTheme="minorHAnsi" w:cstheme="minorBidi"/>
          <w:sz w:val="20"/>
          <w:szCs w:val="20"/>
          <w:lang w:eastAsia="en-US"/>
        </w:rPr>
        <w:t xml:space="preserve"> of ontvangt” vervangen door: , langs elektronische weg omzet of ontvangt.</w:t>
      </w:r>
    </w:p>
    <w:p w:rsidR="00427DB9" w:rsidRPr="00427DB9" w:rsidRDefault="00427DB9" w:rsidP="00427DB9">
      <w:pPr>
        <w:numPr>
          <w:ilvl w:val="0"/>
          <w:numId w:val="30"/>
        </w:numPr>
        <w:spacing w:after="200" w:line="360" w:lineRule="auto"/>
        <w:contextualSpacing/>
        <w:rPr>
          <w:rFonts w:eastAsiaTheme="minorHAnsi" w:cstheme="minorBidi"/>
          <w:sz w:val="20"/>
          <w:szCs w:val="20"/>
          <w:lang w:eastAsia="en-US"/>
        </w:rPr>
      </w:pPr>
      <w:r w:rsidRPr="00427DB9">
        <w:rPr>
          <w:rFonts w:eastAsiaTheme="minorHAnsi" w:cstheme="minorBidi"/>
          <w:sz w:val="20"/>
          <w:szCs w:val="20"/>
          <w:lang w:eastAsia="en-US"/>
        </w:rPr>
        <w:t>Er wordt een lid toegevoegd, luidende:</w:t>
      </w:r>
    </w:p>
    <w:p w:rsidR="00427DB9" w:rsidRPr="00427DB9" w:rsidRDefault="00427DB9" w:rsidP="00427DB9">
      <w:pPr>
        <w:spacing w:line="360" w:lineRule="auto"/>
        <w:ind w:left="360"/>
        <w:rPr>
          <w:rFonts w:eastAsiaTheme="minorHAnsi" w:cstheme="minorBidi"/>
          <w:sz w:val="20"/>
          <w:szCs w:val="20"/>
          <w:lang w:eastAsia="en-US"/>
        </w:rPr>
      </w:pPr>
      <w:r w:rsidRPr="00427DB9">
        <w:rPr>
          <w:rFonts w:eastAsiaTheme="minorHAnsi" w:cstheme="minorBidi"/>
          <w:sz w:val="20"/>
          <w:szCs w:val="20"/>
          <w:lang w:eastAsia="en-US"/>
        </w:rPr>
        <w:t xml:space="preserve">2. Onder omzetting langs elektronische weg wordt verstaan het vervangen door een elektronische reproductie, </w:t>
      </w:r>
      <w:proofErr w:type="gramStart"/>
      <w:r w:rsidRPr="00427DB9">
        <w:rPr>
          <w:rFonts w:eastAsiaTheme="minorHAnsi" w:cstheme="minorBidi"/>
          <w:sz w:val="20"/>
          <w:szCs w:val="20"/>
          <w:lang w:eastAsia="en-US"/>
        </w:rPr>
        <w:t>teneinde</w:t>
      </w:r>
      <w:proofErr w:type="gramEnd"/>
      <w:r w:rsidRPr="00427DB9">
        <w:rPr>
          <w:rFonts w:eastAsiaTheme="minorHAnsi" w:cstheme="minorBidi"/>
          <w:sz w:val="20"/>
          <w:szCs w:val="20"/>
          <w:lang w:eastAsia="en-US"/>
        </w:rPr>
        <w:t xml:space="preserve"> de aldus vervangen bescheiden te vernietigen als bedoeld in artikel 7 van de Archiefwet 1995.</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B</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 xml:space="preserve">In artikel 2 vervallen het tweede lid </w:t>
      </w:r>
      <w:proofErr w:type="gramStart"/>
      <w:r w:rsidRPr="00427DB9">
        <w:rPr>
          <w:rFonts w:eastAsiaTheme="minorHAnsi" w:cstheme="minorBidi"/>
          <w:sz w:val="20"/>
          <w:szCs w:val="20"/>
          <w:lang w:eastAsia="en-US"/>
        </w:rPr>
        <w:t>alsmede</w:t>
      </w:r>
      <w:proofErr w:type="gramEnd"/>
      <w:r w:rsidRPr="00427DB9">
        <w:rPr>
          <w:rFonts w:eastAsiaTheme="minorHAnsi" w:cstheme="minorBidi"/>
          <w:sz w:val="20"/>
          <w:szCs w:val="20"/>
          <w:lang w:eastAsia="en-US"/>
        </w:rPr>
        <w:t xml:space="preserve"> de aanduiding “1.” voor het eerste lid.</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C</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Artikel 4 komt te luiden:</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numPr>
          <w:ilvl w:val="0"/>
          <w:numId w:val="32"/>
        </w:numPr>
        <w:spacing w:after="200" w:line="360" w:lineRule="auto"/>
        <w:contextualSpacing/>
        <w:rPr>
          <w:rFonts w:eastAsiaTheme="minorHAnsi" w:cstheme="minorBidi"/>
          <w:sz w:val="20"/>
          <w:szCs w:val="20"/>
          <w:lang w:eastAsia="en-US"/>
        </w:rPr>
      </w:pPr>
      <w:r w:rsidRPr="00427DB9">
        <w:rPr>
          <w:rFonts w:eastAsiaTheme="minorHAnsi" w:cstheme="minorBidi"/>
          <w:sz w:val="20"/>
          <w:szCs w:val="20"/>
          <w:lang w:eastAsia="en-US"/>
        </w:rPr>
        <w:t xml:space="preserve">Voor de omzetting langs elektronische weg zijn de eisen van toepassing die in artikel 6 en 8 van het Archiefbesluit 1995 en artikel 26b van de Archiefregeling worden gesteld, </w:t>
      </w:r>
      <w:proofErr w:type="gramStart"/>
      <w:r w:rsidRPr="00427DB9">
        <w:rPr>
          <w:rFonts w:eastAsiaTheme="minorHAnsi" w:cstheme="minorBidi"/>
          <w:sz w:val="20"/>
          <w:szCs w:val="20"/>
          <w:lang w:eastAsia="en-US"/>
        </w:rPr>
        <w:t>teneinde</w:t>
      </w:r>
      <w:proofErr w:type="gramEnd"/>
      <w:r w:rsidRPr="00427DB9">
        <w:rPr>
          <w:rFonts w:eastAsiaTheme="minorHAnsi" w:cstheme="minorBidi"/>
          <w:sz w:val="20"/>
          <w:szCs w:val="20"/>
          <w:lang w:eastAsia="en-US"/>
        </w:rPr>
        <w:t xml:space="preserve"> het proces-verbaal waarvan een reproductie is gemaakt te vernietigen, waarbij de verantwoordelijke de zorgdrager is. </w:t>
      </w:r>
    </w:p>
    <w:p w:rsidR="00427DB9" w:rsidRPr="00427DB9" w:rsidRDefault="00427DB9" w:rsidP="00427DB9">
      <w:pPr>
        <w:numPr>
          <w:ilvl w:val="0"/>
          <w:numId w:val="32"/>
        </w:numPr>
        <w:spacing w:after="200" w:line="360" w:lineRule="auto"/>
        <w:contextualSpacing/>
        <w:rPr>
          <w:rFonts w:eastAsiaTheme="minorHAnsi" w:cstheme="minorBidi"/>
          <w:sz w:val="20"/>
          <w:szCs w:val="20"/>
          <w:lang w:eastAsia="en-US"/>
        </w:rPr>
      </w:pPr>
      <w:r w:rsidRPr="00427DB9">
        <w:rPr>
          <w:rFonts w:eastAsiaTheme="minorHAnsi" w:cstheme="minorBidi"/>
          <w:sz w:val="20"/>
          <w:szCs w:val="20"/>
          <w:lang w:eastAsia="en-US"/>
        </w:rPr>
        <w:t>De eisen van artikel 6 van het Archiefbesluit zijn van overeenkomstige toepassing op een digitaal afschrift van het proces-verbaal, met dien verstande dat het originele proces-verbaal niet wordt vernietigd.</w:t>
      </w:r>
    </w:p>
    <w:p w:rsidR="00427DB9" w:rsidRPr="00427DB9" w:rsidRDefault="00427DB9" w:rsidP="00427DB9">
      <w:pPr>
        <w:spacing w:line="360" w:lineRule="auto"/>
        <w:ind w:left="720"/>
        <w:contextualSpacing/>
        <w:rPr>
          <w:rFonts w:eastAsiaTheme="minorHAnsi" w:cstheme="minorBidi"/>
          <w:sz w:val="20"/>
          <w:szCs w:val="20"/>
          <w:lang w:eastAsia="en-US"/>
        </w:rPr>
      </w:pPr>
    </w:p>
    <w:p w:rsidR="00427DB9" w:rsidRPr="00427DB9" w:rsidRDefault="00427DB9" w:rsidP="00427DB9">
      <w:pPr>
        <w:spacing w:line="360" w:lineRule="auto"/>
        <w:ind w:left="720"/>
        <w:contextualSpacing/>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D</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In artikel 5, eerste lid, wordt “bijlage II” vervangen door: de bijlage.</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E</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In artikel 6 vervalt het vijfde lid en wordt het zesde lid vernummerd tot vijfde lid.</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F</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In artikel 7, eerste en tweede lid, wordt telkens “artikelen 4, 5 en 6” vervangen door: artikelen 5 en 6.</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G</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Bijlage I vervalt.</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H</w:t>
      </w:r>
    </w:p>
    <w:p w:rsidR="00427DB9" w:rsidRPr="00427DB9" w:rsidRDefault="00427DB9" w:rsidP="00427DB9">
      <w:pPr>
        <w:spacing w:line="360" w:lineRule="auto"/>
        <w:rPr>
          <w:rFonts w:eastAsiaTheme="minorHAnsi" w:cstheme="minorBidi"/>
          <w:sz w:val="20"/>
          <w:szCs w:val="20"/>
          <w:lang w:eastAsia="en-US"/>
        </w:rPr>
      </w:pPr>
    </w:p>
    <w:p w:rsidR="00427DB9" w:rsidRPr="00427DB9" w:rsidRDefault="00427DB9" w:rsidP="00427DB9">
      <w:pPr>
        <w:spacing w:line="360" w:lineRule="auto"/>
        <w:rPr>
          <w:rFonts w:eastAsiaTheme="minorHAnsi" w:cstheme="minorBidi"/>
          <w:sz w:val="20"/>
          <w:szCs w:val="20"/>
          <w:lang w:eastAsia="en-US"/>
        </w:rPr>
      </w:pPr>
      <w:r w:rsidRPr="00427DB9">
        <w:rPr>
          <w:rFonts w:eastAsiaTheme="minorHAnsi" w:cstheme="minorBidi"/>
          <w:sz w:val="20"/>
          <w:szCs w:val="20"/>
          <w:lang w:eastAsia="en-US"/>
        </w:rPr>
        <w:t>De aanduiding “II” in de aanhef van de bijlage vervalt.</w:t>
      </w:r>
    </w:p>
    <w:p w:rsidR="00427DB9" w:rsidRPr="00427DB9" w:rsidRDefault="00427DB9" w:rsidP="00427DB9">
      <w:pPr>
        <w:spacing w:line="360" w:lineRule="auto"/>
        <w:rPr>
          <w:rFonts w:asciiTheme="minorHAnsi" w:eastAsiaTheme="minorHAnsi" w:hAnsiTheme="minorHAnsi" w:cstheme="minorBidi"/>
          <w:sz w:val="20"/>
          <w:szCs w:val="20"/>
          <w:lang w:eastAsia="en-US"/>
        </w:rPr>
      </w:pPr>
    </w:p>
    <w:p w:rsidR="00427DB9" w:rsidRPr="00427DB9" w:rsidRDefault="00427DB9" w:rsidP="00427DB9">
      <w:pPr>
        <w:spacing w:line="360" w:lineRule="auto"/>
        <w:outlineLvl w:val="3"/>
        <w:rPr>
          <w:b/>
          <w:sz w:val="20"/>
          <w:szCs w:val="20"/>
        </w:rPr>
      </w:pPr>
    </w:p>
    <w:p w:rsidR="00427DB9" w:rsidRPr="00427DB9" w:rsidRDefault="00427DB9" w:rsidP="00427DB9">
      <w:pPr>
        <w:spacing w:line="360" w:lineRule="auto"/>
        <w:outlineLvl w:val="3"/>
        <w:rPr>
          <w:b/>
          <w:sz w:val="20"/>
          <w:szCs w:val="20"/>
        </w:rPr>
      </w:pPr>
      <w:r w:rsidRPr="00427DB9">
        <w:rPr>
          <w:b/>
          <w:sz w:val="20"/>
          <w:szCs w:val="20"/>
        </w:rPr>
        <w:t xml:space="preserve">Artikel II </w:t>
      </w:r>
    </w:p>
    <w:p w:rsidR="00427DB9" w:rsidRPr="00427DB9" w:rsidRDefault="00427DB9" w:rsidP="00427DB9">
      <w:pPr>
        <w:spacing w:line="360" w:lineRule="auto"/>
        <w:outlineLvl w:val="3"/>
        <w:rPr>
          <w:b/>
          <w:sz w:val="20"/>
          <w:szCs w:val="20"/>
        </w:rPr>
      </w:pPr>
    </w:p>
    <w:p w:rsidR="00427DB9" w:rsidRPr="00427DB9" w:rsidRDefault="00427DB9" w:rsidP="00427DB9">
      <w:pPr>
        <w:spacing w:line="360" w:lineRule="auto"/>
        <w:rPr>
          <w:sz w:val="20"/>
          <w:szCs w:val="20"/>
        </w:rPr>
      </w:pPr>
      <w:r w:rsidRPr="00427DB9">
        <w:rPr>
          <w:sz w:val="20"/>
          <w:szCs w:val="20"/>
        </w:rPr>
        <w:t>Dit besluit treedt in werking met ingang van de dag na de datum van uitgifte van het Staatsblad waarin het wordt geplaatst.</w:t>
      </w:r>
    </w:p>
    <w:p w:rsidR="00427DB9" w:rsidRPr="00427DB9" w:rsidRDefault="00427DB9" w:rsidP="00427DB9">
      <w:pPr>
        <w:spacing w:line="360" w:lineRule="auto"/>
        <w:rPr>
          <w:sz w:val="20"/>
          <w:szCs w:val="20"/>
        </w:rPr>
      </w:pPr>
    </w:p>
    <w:p w:rsidR="00427DB9" w:rsidRPr="00427DB9" w:rsidRDefault="00427DB9" w:rsidP="00427DB9">
      <w:pPr>
        <w:spacing w:line="360" w:lineRule="auto"/>
        <w:rPr>
          <w:sz w:val="20"/>
          <w:szCs w:val="20"/>
        </w:rPr>
      </w:pPr>
      <w:bookmarkStart w:id="2" w:name="d91e289"/>
      <w:bookmarkEnd w:id="2"/>
      <w:r w:rsidRPr="00427DB9">
        <w:rPr>
          <w:sz w:val="20"/>
          <w:szCs w:val="20"/>
        </w:rPr>
        <w:t>Lasten en bevelen dat dit besluit met de daarbij behorende nota van toelichting in het Staatsblad zal worden geplaatst.</w:t>
      </w:r>
    </w:p>
    <w:p w:rsidR="00427DB9" w:rsidRPr="00427DB9" w:rsidRDefault="00427DB9" w:rsidP="00427DB9">
      <w:pPr>
        <w:spacing w:line="360" w:lineRule="auto"/>
        <w:rPr>
          <w:sz w:val="20"/>
          <w:szCs w:val="20"/>
        </w:rPr>
      </w:pPr>
    </w:p>
    <w:p w:rsidR="00427DB9" w:rsidRPr="00427DB9" w:rsidRDefault="00427DB9" w:rsidP="00427DB9">
      <w:pPr>
        <w:spacing w:line="360" w:lineRule="auto"/>
        <w:rPr>
          <w:sz w:val="20"/>
          <w:szCs w:val="20"/>
        </w:rPr>
      </w:pPr>
    </w:p>
    <w:p w:rsidR="00427DB9" w:rsidRPr="00427DB9" w:rsidRDefault="00427DB9" w:rsidP="00427DB9">
      <w:pPr>
        <w:spacing w:line="360" w:lineRule="auto"/>
        <w:rPr>
          <w:sz w:val="20"/>
          <w:szCs w:val="20"/>
        </w:rPr>
      </w:pPr>
    </w:p>
    <w:p w:rsidR="00FF589D" w:rsidRDefault="00427DB9" w:rsidP="00427DB9">
      <w:pPr>
        <w:spacing w:after="200" w:line="276" w:lineRule="auto"/>
        <w:rPr>
          <w:sz w:val="20"/>
          <w:szCs w:val="20"/>
        </w:rPr>
        <w:sectPr w:rsidR="00FF589D" w:rsidSect="00A05687">
          <w:type w:val="continuous"/>
          <w:pgSz w:w="11906" w:h="16838"/>
          <w:pgMar w:top="1440" w:right="1440" w:bottom="1440" w:left="1440" w:header="708" w:footer="708" w:gutter="0"/>
          <w:cols w:space="708"/>
          <w:docGrid w:linePitch="360"/>
        </w:sectPr>
      </w:pPr>
      <w:r w:rsidRPr="00427DB9">
        <w:rPr>
          <w:sz w:val="20"/>
          <w:szCs w:val="20"/>
        </w:rPr>
        <w:t>De Minister van Veiligheid en Justitie</w:t>
      </w:r>
    </w:p>
    <w:p w:rsidR="00FF589D" w:rsidRPr="00543BC4" w:rsidRDefault="00FF589D" w:rsidP="00FF589D">
      <w:pPr>
        <w:spacing w:line="360" w:lineRule="auto"/>
        <w:rPr>
          <w:b/>
          <w:bCs/>
          <w:sz w:val="20"/>
          <w:szCs w:val="20"/>
        </w:rPr>
      </w:pPr>
      <w:r w:rsidRPr="00543BC4">
        <w:rPr>
          <w:b/>
          <w:bCs/>
          <w:sz w:val="20"/>
          <w:szCs w:val="20"/>
        </w:rPr>
        <w:lastRenderedPageBreak/>
        <w:t xml:space="preserve">NOTA VAN TOELICHTING </w:t>
      </w:r>
    </w:p>
    <w:p w:rsidR="00FF589D" w:rsidRPr="00543BC4" w:rsidRDefault="00FF589D" w:rsidP="00FF589D">
      <w:pPr>
        <w:spacing w:line="360" w:lineRule="auto"/>
        <w:outlineLvl w:val="3"/>
        <w:rPr>
          <w:b/>
          <w:bCs/>
          <w:sz w:val="20"/>
          <w:szCs w:val="20"/>
        </w:rPr>
      </w:pPr>
      <w:bookmarkStart w:id="3" w:name="d91e626"/>
      <w:bookmarkEnd w:id="3"/>
    </w:p>
    <w:p w:rsidR="00FF589D" w:rsidRPr="00543BC4" w:rsidRDefault="00FF589D" w:rsidP="00FF589D">
      <w:pPr>
        <w:spacing w:line="360" w:lineRule="auto"/>
        <w:outlineLvl w:val="3"/>
        <w:rPr>
          <w:b/>
          <w:bCs/>
          <w:sz w:val="20"/>
          <w:szCs w:val="20"/>
        </w:rPr>
      </w:pPr>
      <w:proofErr w:type="gramStart"/>
      <w:r w:rsidRPr="00543BC4">
        <w:rPr>
          <w:b/>
          <w:bCs/>
          <w:sz w:val="20"/>
          <w:szCs w:val="20"/>
        </w:rPr>
        <w:t xml:space="preserve">ALGEMEEN  </w:t>
      </w:r>
      <w:proofErr w:type="gramEnd"/>
    </w:p>
    <w:p w:rsidR="00FF589D" w:rsidRPr="00543BC4" w:rsidRDefault="00FF589D" w:rsidP="00FF589D">
      <w:pPr>
        <w:spacing w:line="360" w:lineRule="auto"/>
        <w:outlineLvl w:val="3"/>
        <w:rPr>
          <w:b/>
          <w:bCs/>
          <w:sz w:val="20"/>
          <w:szCs w:val="20"/>
        </w:rPr>
      </w:pPr>
    </w:p>
    <w:p w:rsidR="00FF589D" w:rsidRPr="00543BC4" w:rsidRDefault="00FF589D" w:rsidP="00FF589D">
      <w:pPr>
        <w:spacing w:line="360" w:lineRule="auto"/>
        <w:outlineLvl w:val="3"/>
        <w:rPr>
          <w:b/>
          <w:bCs/>
          <w:i/>
          <w:sz w:val="20"/>
          <w:szCs w:val="20"/>
        </w:rPr>
      </w:pPr>
      <w:r w:rsidRPr="00543BC4">
        <w:rPr>
          <w:b/>
          <w:bCs/>
          <w:i/>
          <w:sz w:val="20"/>
          <w:szCs w:val="20"/>
        </w:rPr>
        <w:t>1. Inleiding</w:t>
      </w:r>
    </w:p>
    <w:p w:rsidR="00FF589D" w:rsidRPr="00B55410" w:rsidRDefault="00FF589D" w:rsidP="00FF589D">
      <w:pPr>
        <w:spacing w:line="360" w:lineRule="auto"/>
        <w:outlineLvl w:val="4"/>
        <w:rPr>
          <w:bCs/>
          <w:iCs/>
          <w:sz w:val="20"/>
          <w:szCs w:val="20"/>
        </w:rPr>
      </w:pPr>
      <w:bookmarkStart w:id="4" w:name="d91e629"/>
      <w:bookmarkEnd w:id="4"/>
      <w:r w:rsidRPr="00543BC4">
        <w:rPr>
          <w:bCs/>
          <w:iCs/>
          <w:sz w:val="20"/>
          <w:szCs w:val="20"/>
        </w:rPr>
        <w:t>Dit voorstel tot wijziging van het Besluit elektronisch proces-verbaal (</w:t>
      </w:r>
      <w:proofErr w:type="spellStart"/>
      <w:r>
        <w:rPr>
          <w:bCs/>
          <w:iCs/>
          <w:sz w:val="20"/>
          <w:szCs w:val="20"/>
        </w:rPr>
        <w:t>Bepv</w:t>
      </w:r>
      <w:proofErr w:type="spellEnd"/>
      <w:r>
        <w:rPr>
          <w:bCs/>
          <w:iCs/>
          <w:sz w:val="20"/>
          <w:szCs w:val="20"/>
        </w:rPr>
        <w:t>)</w:t>
      </w:r>
      <w:r w:rsidRPr="00543BC4">
        <w:rPr>
          <w:bCs/>
          <w:iCs/>
          <w:sz w:val="20"/>
          <w:szCs w:val="20"/>
        </w:rPr>
        <w:t xml:space="preserve"> strekt tot wijziging van de regeling van het langs elektronische weg omzetten van een proces-verbaal als bedoeld in artikel 153</w:t>
      </w:r>
      <w:r>
        <w:rPr>
          <w:bCs/>
          <w:iCs/>
          <w:sz w:val="20"/>
          <w:szCs w:val="20"/>
        </w:rPr>
        <w:t>, tweede lid,</w:t>
      </w:r>
      <w:r w:rsidRPr="00543BC4">
        <w:rPr>
          <w:bCs/>
          <w:iCs/>
          <w:sz w:val="20"/>
          <w:szCs w:val="20"/>
        </w:rPr>
        <w:t xml:space="preserve"> van het Wetboek van Strafvordering</w:t>
      </w:r>
      <w:r>
        <w:rPr>
          <w:bCs/>
          <w:iCs/>
          <w:sz w:val="20"/>
          <w:szCs w:val="20"/>
        </w:rPr>
        <w:t xml:space="preserve"> in elektronische stukken</w:t>
      </w:r>
      <w:r w:rsidRPr="00543BC4">
        <w:rPr>
          <w:bCs/>
          <w:iCs/>
          <w:sz w:val="20"/>
          <w:szCs w:val="20"/>
        </w:rPr>
        <w:t xml:space="preserve">. Met de wijziging wordt beoogd de bij en </w:t>
      </w:r>
      <w:proofErr w:type="gramStart"/>
      <w:r w:rsidRPr="00543BC4">
        <w:rPr>
          <w:bCs/>
          <w:iCs/>
          <w:sz w:val="20"/>
          <w:szCs w:val="20"/>
        </w:rPr>
        <w:t>krachtens</w:t>
      </w:r>
      <w:proofErr w:type="gramEnd"/>
      <w:r w:rsidRPr="00543BC4">
        <w:rPr>
          <w:bCs/>
          <w:iCs/>
          <w:sz w:val="20"/>
          <w:szCs w:val="20"/>
        </w:rPr>
        <w:t xml:space="preserve"> de Archiefwet 1995 (</w:t>
      </w:r>
      <w:proofErr w:type="spellStart"/>
      <w:r w:rsidRPr="00543BC4">
        <w:rPr>
          <w:bCs/>
          <w:iCs/>
          <w:sz w:val="20"/>
          <w:szCs w:val="20"/>
        </w:rPr>
        <w:t>Aw</w:t>
      </w:r>
      <w:proofErr w:type="spellEnd"/>
      <w:r w:rsidRPr="00543BC4">
        <w:rPr>
          <w:bCs/>
          <w:iCs/>
          <w:sz w:val="20"/>
          <w:szCs w:val="20"/>
        </w:rPr>
        <w:t xml:space="preserve">) gestelde eisen aan de vervanging van archiefbescheiden door </w:t>
      </w:r>
      <w:r>
        <w:rPr>
          <w:bCs/>
          <w:iCs/>
          <w:sz w:val="20"/>
          <w:szCs w:val="20"/>
        </w:rPr>
        <w:t>reproductie</w:t>
      </w:r>
      <w:r w:rsidRPr="00543BC4">
        <w:rPr>
          <w:bCs/>
          <w:iCs/>
          <w:sz w:val="20"/>
          <w:szCs w:val="20"/>
        </w:rPr>
        <w:t xml:space="preserve">s (artikel 7) van toepassing te laten zijn </w:t>
      </w:r>
      <w:r>
        <w:rPr>
          <w:bCs/>
          <w:iCs/>
          <w:sz w:val="20"/>
          <w:szCs w:val="20"/>
        </w:rPr>
        <w:t>op</w:t>
      </w:r>
      <w:r w:rsidRPr="00543BC4">
        <w:rPr>
          <w:bCs/>
          <w:iCs/>
          <w:sz w:val="20"/>
          <w:szCs w:val="20"/>
        </w:rPr>
        <w:t xml:space="preserve"> het langs elektronische weg omzetten van processen-verbaal. Deze eisen gaan ook gelden voor de elektronische afschriften van het proces-verbaal</w:t>
      </w:r>
      <w:r>
        <w:rPr>
          <w:bCs/>
          <w:iCs/>
          <w:sz w:val="20"/>
          <w:szCs w:val="20"/>
        </w:rPr>
        <w:t>.</w:t>
      </w:r>
    </w:p>
    <w:p w:rsidR="00FF589D" w:rsidRPr="00B55410" w:rsidRDefault="00FF589D" w:rsidP="00FF589D">
      <w:pPr>
        <w:spacing w:line="360" w:lineRule="auto"/>
        <w:outlineLvl w:val="4"/>
        <w:rPr>
          <w:bCs/>
          <w:iCs/>
          <w:sz w:val="20"/>
          <w:szCs w:val="20"/>
        </w:rPr>
      </w:pPr>
    </w:p>
    <w:p w:rsidR="00FF589D" w:rsidRPr="00B55410" w:rsidRDefault="00FF589D" w:rsidP="00FF589D">
      <w:pPr>
        <w:spacing w:line="360" w:lineRule="auto"/>
        <w:outlineLvl w:val="4"/>
        <w:rPr>
          <w:bCs/>
          <w:iCs/>
          <w:sz w:val="20"/>
          <w:szCs w:val="20"/>
        </w:rPr>
      </w:pPr>
      <w:r w:rsidRPr="00B55410">
        <w:rPr>
          <w:sz w:val="20"/>
          <w:szCs w:val="20"/>
        </w:rPr>
        <w:t xml:space="preserve">Aanleiding </w:t>
      </w:r>
      <w:r w:rsidRPr="00B55410">
        <w:rPr>
          <w:bCs/>
          <w:iCs/>
          <w:sz w:val="20"/>
          <w:szCs w:val="20"/>
        </w:rPr>
        <w:t>voor de herziening vormt de Wet revitalisering generiek toezicht (Stb 2012,</w:t>
      </w:r>
      <w:r>
        <w:rPr>
          <w:bCs/>
          <w:iCs/>
          <w:sz w:val="20"/>
          <w:szCs w:val="20"/>
        </w:rPr>
        <w:t xml:space="preserve"> nr.</w:t>
      </w:r>
      <w:r w:rsidRPr="00B55410">
        <w:rPr>
          <w:bCs/>
          <w:iCs/>
          <w:sz w:val="20"/>
          <w:szCs w:val="20"/>
        </w:rPr>
        <w:t xml:space="preserve"> 233), als gevolg waarvan de Beleidsregel digitale vervanging archiefbescheiden</w:t>
      </w:r>
      <w:r>
        <w:rPr>
          <w:bCs/>
          <w:iCs/>
          <w:sz w:val="20"/>
          <w:szCs w:val="20"/>
        </w:rPr>
        <w:t xml:space="preserve"> (</w:t>
      </w:r>
      <w:proofErr w:type="spellStart"/>
      <w:r>
        <w:rPr>
          <w:bCs/>
          <w:iCs/>
          <w:sz w:val="20"/>
          <w:szCs w:val="20"/>
        </w:rPr>
        <w:t>Stcrt</w:t>
      </w:r>
      <w:proofErr w:type="spellEnd"/>
      <w:r>
        <w:rPr>
          <w:bCs/>
          <w:iCs/>
          <w:sz w:val="20"/>
          <w:szCs w:val="20"/>
        </w:rPr>
        <w:t>. 2008, nr. 21)</w:t>
      </w:r>
      <w:r w:rsidRPr="00B55410">
        <w:rPr>
          <w:bCs/>
          <w:iCs/>
          <w:sz w:val="20"/>
          <w:szCs w:val="20"/>
        </w:rPr>
        <w:t xml:space="preserve">, die mede model heeft gestaan voor de procedure die was opgenomen in Bijlage I van het </w:t>
      </w:r>
      <w:proofErr w:type="spellStart"/>
      <w:r>
        <w:rPr>
          <w:bCs/>
          <w:iCs/>
          <w:sz w:val="20"/>
          <w:szCs w:val="20"/>
        </w:rPr>
        <w:t>Bepv</w:t>
      </w:r>
      <w:proofErr w:type="spellEnd"/>
      <w:r w:rsidRPr="00B55410">
        <w:rPr>
          <w:bCs/>
          <w:iCs/>
          <w:sz w:val="20"/>
          <w:szCs w:val="20"/>
        </w:rPr>
        <w:t>, is komen te vervallen. Ook de digitaliseringsdoelstelling uit het programma Versterking prestaties strafrechtsketen</w:t>
      </w:r>
      <w:r>
        <w:rPr>
          <w:bCs/>
          <w:iCs/>
          <w:sz w:val="20"/>
          <w:szCs w:val="20"/>
        </w:rPr>
        <w:t xml:space="preserve"> (VPS)</w:t>
      </w:r>
      <w:r w:rsidRPr="00B55410">
        <w:rPr>
          <w:bCs/>
          <w:iCs/>
          <w:sz w:val="20"/>
          <w:szCs w:val="20"/>
        </w:rPr>
        <w:t xml:space="preserve">, vormde aanleiding de regeling van elektronische omzetting tegen het licht te houden en aan te sluiten bij de regeling van de vervanging door </w:t>
      </w:r>
      <w:r>
        <w:rPr>
          <w:bCs/>
          <w:iCs/>
          <w:sz w:val="20"/>
          <w:szCs w:val="20"/>
        </w:rPr>
        <w:t>reproductie</w:t>
      </w:r>
      <w:r w:rsidRPr="00B55410">
        <w:rPr>
          <w:bCs/>
          <w:iCs/>
          <w:sz w:val="20"/>
          <w:szCs w:val="20"/>
        </w:rPr>
        <w:t xml:space="preserve">s uit de </w:t>
      </w:r>
      <w:proofErr w:type="spellStart"/>
      <w:r w:rsidRPr="00B55410">
        <w:rPr>
          <w:bCs/>
          <w:iCs/>
          <w:sz w:val="20"/>
          <w:szCs w:val="20"/>
        </w:rPr>
        <w:t>Aw</w:t>
      </w:r>
      <w:proofErr w:type="spellEnd"/>
      <w:r w:rsidRPr="00B55410">
        <w:rPr>
          <w:bCs/>
          <w:iCs/>
          <w:sz w:val="20"/>
          <w:szCs w:val="20"/>
        </w:rPr>
        <w:t xml:space="preserve">. </w:t>
      </w:r>
    </w:p>
    <w:p w:rsidR="00FF589D" w:rsidRPr="00B55410"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sidRPr="00B55410">
        <w:rPr>
          <w:bCs/>
          <w:iCs/>
          <w:sz w:val="20"/>
          <w:szCs w:val="20"/>
        </w:rPr>
        <w:t xml:space="preserve">Over het </w:t>
      </w:r>
      <w:r>
        <w:rPr>
          <w:bCs/>
          <w:iCs/>
          <w:sz w:val="20"/>
          <w:szCs w:val="20"/>
        </w:rPr>
        <w:t>ontwerp</w:t>
      </w:r>
      <w:r w:rsidRPr="00B55410">
        <w:rPr>
          <w:bCs/>
          <w:iCs/>
          <w:sz w:val="20"/>
          <w:szCs w:val="20"/>
        </w:rPr>
        <w:t>besluit is</w:t>
      </w:r>
      <w:r>
        <w:rPr>
          <w:bCs/>
          <w:iCs/>
          <w:sz w:val="20"/>
          <w:szCs w:val="20"/>
        </w:rPr>
        <w:t xml:space="preserve"> desgevraagd advies uitgebracht door</w:t>
      </w:r>
      <w:r w:rsidRPr="00B55410">
        <w:rPr>
          <w:bCs/>
          <w:iCs/>
          <w:sz w:val="20"/>
          <w:szCs w:val="20"/>
        </w:rPr>
        <w:t xml:space="preserve"> het C</w:t>
      </w:r>
      <w:r>
        <w:rPr>
          <w:bCs/>
          <w:iCs/>
          <w:sz w:val="20"/>
          <w:szCs w:val="20"/>
        </w:rPr>
        <w:t>ollege van procureurs-generaal (OM)</w:t>
      </w:r>
      <w:r w:rsidRPr="00B55410">
        <w:rPr>
          <w:bCs/>
          <w:iCs/>
          <w:sz w:val="20"/>
          <w:szCs w:val="20"/>
        </w:rPr>
        <w:t>, d</w:t>
      </w:r>
      <w:r w:rsidRPr="001C0BDE">
        <w:rPr>
          <w:bCs/>
          <w:iCs/>
          <w:sz w:val="20"/>
          <w:szCs w:val="20"/>
        </w:rPr>
        <w:t>e Raad voor de rechtspraak (</w:t>
      </w:r>
      <w:proofErr w:type="spellStart"/>
      <w:r w:rsidRPr="001C0BDE">
        <w:rPr>
          <w:bCs/>
          <w:iCs/>
          <w:sz w:val="20"/>
          <w:szCs w:val="20"/>
        </w:rPr>
        <w:t>Rvd</w:t>
      </w:r>
      <w:r>
        <w:rPr>
          <w:bCs/>
          <w:iCs/>
          <w:sz w:val="20"/>
          <w:szCs w:val="20"/>
        </w:rPr>
        <w:t>r</w:t>
      </w:r>
      <w:proofErr w:type="spellEnd"/>
      <w:r w:rsidRPr="00B55410">
        <w:rPr>
          <w:bCs/>
          <w:iCs/>
          <w:sz w:val="20"/>
          <w:szCs w:val="20"/>
        </w:rPr>
        <w:t>), het Platform Bijzondere Opsporingsdiensten (</w:t>
      </w:r>
      <w:r>
        <w:rPr>
          <w:bCs/>
          <w:iCs/>
          <w:sz w:val="20"/>
          <w:szCs w:val="20"/>
        </w:rPr>
        <w:t xml:space="preserve">Platform </w:t>
      </w:r>
      <w:proofErr w:type="spellStart"/>
      <w:r w:rsidRPr="00B55410">
        <w:rPr>
          <w:bCs/>
          <w:iCs/>
          <w:sz w:val="20"/>
          <w:szCs w:val="20"/>
        </w:rPr>
        <w:t>BOD</w:t>
      </w:r>
      <w:r>
        <w:rPr>
          <w:bCs/>
          <w:iCs/>
          <w:sz w:val="20"/>
          <w:szCs w:val="20"/>
        </w:rPr>
        <w:t>-en</w:t>
      </w:r>
      <w:proofErr w:type="spellEnd"/>
      <w:r w:rsidRPr="00B55410">
        <w:rPr>
          <w:bCs/>
          <w:iCs/>
          <w:sz w:val="20"/>
          <w:szCs w:val="20"/>
        </w:rPr>
        <w:t>) en de Nationale Politie.</w:t>
      </w:r>
      <w:r w:rsidRPr="00B55410">
        <w:rPr>
          <w:sz w:val="20"/>
          <w:szCs w:val="20"/>
        </w:rPr>
        <w:t xml:space="preserve"> De Nederlandse </w:t>
      </w:r>
      <w:r>
        <w:rPr>
          <w:sz w:val="20"/>
          <w:szCs w:val="20"/>
        </w:rPr>
        <w:t xml:space="preserve">Orde van Advocaten heeft geen aanleiding gezien om advies uit te brengen over het ontwerpbesluit. </w:t>
      </w:r>
      <w:r>
        <w:rPr>
          <w:bCs/>
          <w:iCs/>
          <w:sz w:val="20"/>
          <w:szCs w:val="20"/>
        </w:rPr>
        <w:t>In paragraaf 4</w:t>
      </w:r>
      <w:r w:rsidRPr="00B55410">
        <w:rPr>
          <w:bCs/>
          <w:iCs/>
          <w:sz w:val="20"/>
          <w:szCs w:val="20"/>
        </w:rPr>
        <w:t xml:space="preserve"> wordt ingegaan op deze adviezen. Voor zover nodig wordt op de gemaakte specifieke opmerkingen nader ingegaan op de plaatsen van de nota van toelichting waar het onderwerp aan de orde is. </w:t>
      </w:r>
    </w:p>
    <w:p w:rsidR="00FF589D" w:rsidRPr="00A5651E" w:rsidRDefault="00FF589D" w:rsidP="00FF589D">
      <w:pPr>
        <w:spacing w:line="360" w:lineRule="auto"/>
        <w:outlineLvl w:val="4"/>
        <w:rPr>
          <w:bCs/>
          <w:iCs/>
          <w:sz w:val="20"/>
          <w:szCs w:val="20"/>
        </w:rPr>
      </w:pPr>
    </w:p>
    <w:p w:rsidR="00FF589D" w:rsidRPr="00A5651E" w:rsidRDefault="00FF589D" w:rsidP="00FF589D">
      <w:pPr>
        <w:spacing w:line="360" w:lineRule="auto"/>
        <w:outlineLvl w:val="4"/>
        <w:rPr>
          <w:b/>
          <w:bCs/>
          <w:i/>
          <w:iCs/>
          <w:sz w:val="20"/>
          <w:szCs w:val="20"/>
        </w:rPr>
      </w:pPr>
      <w:r w:rsidRPr="00A5651E">
        <w:rPr>
          <w:b/>
          <w:bCs/>
          <w:i/>
          <w:iCs/>
          <w:sz w:val="20"/>
          <w:szCs w:val="20"/>
        </w:rPr>
        <w:t>2. Digitaliseringsdoelstelling VPS</w:t>
      </w:r>
    </w:p>
    <w:p w:rsidR="00FF589D" w:rsidRPr="00A5651E" w:rsidRDefault="00FF589D" w:rsidP="00FF589D">
      <w:pPr>
        <w:spacing w:line="360" w:lineRule="auto"/>
        <w:outlineLvl w:val="4"/>
        <w:rPr>
          <w:bCs/>
          <w:iCs/>
          <w:sz w:val="20"/>
          <w:szCs w:val="20"/>
        </w:rPr>
      </w:pPr>
      <w:r w:rsidRPr="00A5651E">
        <w:rPr>
          <w:bCs/>
          <w:iCs/>
          <w:sz w:val="20"/>
          <w:szCs w:val="20"/>
        </w:rPr>
        <w:t xml:space="preserve">In de brieven 5 juli en 14 november 2013 (kamerstukken II, 2012-2013, 29 279, </w:t>
      </w:r>
      <w:proofErr w:type="spellStart"/>
      <w:r w:rsidRPr="00A5651E">
        <w:rPr>
          <w:bCs/>
          <w:iCs/>
          <w:sz w:val="20"/>
          <w:szCs w:val="20"/>
        </w:rPr>
        <w:t>nrs</w:t>
      </w:r>
      <w:proofErr w:type="spellEnd"/>
      <w:r w:rsidRPr="00A5651E">
        <w:rPr>
          <w:bCs/>
          <w:iCs/>
          <w:sz w:val="20"/>
          <w:szCs w:val="20"/>
        </w:rPr>
        <w:t xml:space="preserve">. </w:t>
      </w:r>
      <w:proofErr w:type="gramStart"/>
      <w:r w:rsidRPr="00A5651E">
        <w:rPr>
          <w:bCs/>
          <w:iCs/>
          <w:sz w:val="20"/>
          <w:szCs w:val="20"/>
        </w:rPr>
        <w:t>165 en 177 ) heeft de minister van Veiligheid en Justitie aangegeven dat in 2016 digitale informatie-uitwisseling in de keten en ook met de advocatuur en de burger,</w:t>
      </w:r>
      <w:r>
        <w:rPr>
          <w:bCs/>
          <w:iCs/>
          <w:sz w:val="20"/>
          <w:szCs w:val="20"/>
        </w:rPr>
        <w:t xml:space="preserve"> de norm zal zijn</w:t>
      </w:r>
      <w:r w:rsidRPr="00A5651E">
        <w:rPr>
          <w:bCs/>
          <w:iCs/>
          <w:sz w:val="20"/>
          <w:szCs w:val="20"/>
        </w:rPr>
        <w:t xml:space="preserve">. </w:t>
      </w:r>
      <w:proofErr w:type="gramEnd"/>
      <w:r w:rsidRPr="00A5651E">
        <w:rPr>
          <w:bCs/>
          <w:iCs/>
          <w:sz w:val="20"/>
          <w:szCs w:val="20"/>
        </w:rPr>
        <w:t xml:space="preserve">Dit is een belangrijke stap in een transitieproces dat op termijn zal leiden tot volledig digitaal werken in de strafrechtsketen. Tot het moment waarop de aanlevering, het gebruik en de verwerking van schriftelijke documenten in elektronische vorm ten </w:t>
      </w:r>
      <w:r w:rsidRPr="00A5651E">
        <w:rPr>
          <w:bCs/>
          <w:iCs/>
          <w:sz w:val="20"/>
          <w:szCs w:val="20"/>
        </w:rPr>
        <w:lastRenderedPageBreak/>
        <w:t xml:space="preserve">behoeve van een strafdossier volledig is gerealiseerd, zullen de papieren documenten door middel van scannen in een elektronisch dossier kunnen worden opgenomen. </w:t>
      </w:r>
    </w:p>
    <w:p w:rsidR="00FF589D" w:rsidRPr="00A5651E"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sidRPr="00A5651E">
        <w:rPr>
          <w:bCs/>
          <w:iCs/>
          <w:sz w:val="20"/>
          <w:szCs w:val="20"/>
        </w:rPr>
        <w:t xml:space="preserve">Door </w:t>
      </w:r>
      <w:proofErr w:type="gramStart"/>
      <w:r w:rsidRPr="00A5651E">
        <w:rPr>
          <w:bCs/>
          <w:iCs/>
          <w:sz w:val="20"/>
          <w:szCs w:val="20"/>
        </w:rPr>
        <w:t xml:space="preserve">de  </w:t>
      </w:r>
      <w:proofErr w:type="gramEnd"/>
      <w:r w:rsidRPr="00A5651E">
        <w:rPr>
          <w:bCs/>
          <w:iCs/>
          <w:sz w:val="20"/>
          <w:szCs w:val="20"/>
        </w:rPr>
        <w:t xml:space="preserve">snelle technologische ontwikkelingen die zich afgelopen jaren hebben voltrokken met betrekking tot de scanapparatuur en scaninrichtingen, biedt de huidige scantechnologie de mogelijkheden om grootschalig en betrouwbaar papieren stukken om te zetten naar elektronische stukken. Hiermee zijn ervaringen opgedaan in een pilot bij het parket Noord Holland. </w:t>
      </w:r>
      <w:proofErr w:type="gramStart"/>
      <w:r>
        <w:rPr>
          <w:bCs/>
          <w:iCs/>
          <w:sz w:val="20"/>
          <w:szCs w:val="20"/>
        </w:rPr>
        <w:t>Aldaar</w:t>
      </w:r>
      <w:proofErr w:type="gramEnd"/>
      <w:r>
        <w:rPr>
          <w:bCs/>
          <w:iCs/>
          <w:sz w:val="20"/>
          <w:szCs w:val="20"/>
        </w:rPr>
        <w:t xml:space="preserve"> is een scanstraat ingericht die voldoet aan de eisen van het maken van een elektronisch afschrift van het proces-verbaal van het thans geldende </w:t>
      </w:r>
      <w:proofErr w:type="spellStart"/>
      <w:r>
        <w:rPr>
          <w:bCs/>
          <w:iCs/>
          <w:sz w:val="20"/>
          <w:szCs w:val="20"/>
        </w:rPr>
        <w:t>Bepv</w:t>
      </w:r>
      <w:proofErr w:type="spellEnd"/>
      <w:r>
        <w:rPr>
          <w:bCs/>
          <w:iCs/>
          <w:sz w:val="20"/>
          <w:szCs w:val="20"/>
        </w:rPr>
        <w:t xml:space="preserve">. </w:t>
      </w:r>
      <w:proofErr w:type="gramStart"/>
      <w:r>
        <w:rPr>
          <w:bCs/>
          <w:iCs/>
          <w:sz w:val="20"/>
          <w:szCs w:val="20"/>
        </w:rPr>
        <w:t>De</w:t>
      </w:r>
      <w:proofErr w:type="gramEnd"/>
      <w:r>
        <w:rPr>
          <w:bCs/>
          <w:iCs/>
          <w:sz w:val="20"/>
          <w:szCs w:val="20"/>
        </w:rPr>
        <w:t xml:space="preserve"> pilot is geëvalueerd. Een belangrijke conclusie is dat een systematisch visuele controle op de juistheid en volledigheid van de reproducties, zoals het </w:t>
      </w:r>
      <w:proofErr w:type="spellStart"/>
      <w:r>
        <w:rPr>
          <w:bCs/>
          <w:iCs/>
          <w:sz w:val="20"/>
          <w:szCs w:val="20"/>
        </w:rPr>
        <w:t>Bepv</w:t>
      </w:r>
      <w:proofErr w:type="spellEnd"/>
      <w:r>
        <w:rPr>
          <w:bCs/>
          <w:iCs/>
          <w:sz w:val="20"/>
          <w:szCs w:val="20"/>
        </w:rPr>
        <w:t xml:space="preserve"> vereist, geen toegevoegde waarde oplevert, omdat de moderne scanners, die worden gebruikt bij het parket Noord Holland zijn uitgerust met automatische foutcontrole en foutcorrectie. Een tweede belangrijke conclusie is dat het maken van elektronische afschriften leidt tot een tweevoudige logistiek, dubbele archivering en daardoor tot vermijdbare kosten.</w:t>
      </w:r>
    </w:p>
    <w:p w:rsidR="00FF589D" w:rsidRDefault="00FF589D" w:rsidP="00FF589D">
      <w:pPr>
        <w:spacing w:line="360" w:lineRule="auto"/>
        <w:outlineLvl w:val="4"/>
        <w:rPr>
          <w:bCs/>
          <w:iCs/>
          <w:sz w:val="20"/>
          <w:szCs w:val="20"/>
        </w:rPr>
      </w:pPr>
      <w:r>
        <w:rPr>
          <w:bCs/>
          <w:iCs/>
          <w:sz w:val="20"/>
          <w:szCs w:val="20"/>
        </w:rPr>
        <w:t xml:space="preserve"> </w:t>
      </w:r>
    </w:p>
    <w:p w:rsidR="00FF589D" w:rsidRDefault="00FF589D" w:rsidP="00FF589D">
      <w:pPr>
        <w:spacing w:line="360" w:lineRule="auto"/>
        <w:outlineLvl w:val="4"/>
        <w:rPr>
          <w:bCs/>
          <w:iCs/>
          <w:sz w:val="20"/>
          <w:szCs w:val="20"/>
        </w:rPr>
      </w:pPr>
      <w:r>
        <w:rPr>
          <w:bCs/>
          <w:iCs/>
          <w:sz w:val="20"/>
          <w:szCs w:val="20"/>
        </w:rPr>
        <w:t xml:space="preserve">Het kunnen vervangen </w:t>
      </w:r>
      <w:proofErr w:type="gramStart"/>
      <w:r>
        <w:rPr>
          <w:bCs/>
          <w:iCs/>
          <w:sz w:val="20"/>
          <w:szCs w:val="20"/>
        </w:rPr>
        <w:t xml:space="preserve">van </w:t>
      </w:r>
      <w:r w:rsidRPr="00A5651E">
        <w:rPr>
          <w:bCs/>
          <w:iCs/>
          <w:sz w:val="20"/>
          <w:szCs w:val="20"/>
        </w:rPr>
        <w:t xml:space="preserve"> </w:t>
      </w:r>
      <w:proofErr w:type="gramEnd"/>
      <w:r>
        <w:rPr>
          <w:bCs/>
          <w:iCs/>
          <w:sz w:val="20"/>
          <w:szCs w:val="20"/>
        </w:rPr>
        <w:t xml:space="preserve">de processen-verbaal is </w:t>
      </w:r>
      <w:r w:rsidRPr="00A5651E">
        <w:rPr>
          <w:bCs/>
          <w:iCs/>
          <w:sz w:val="20"/>
          <w:szCs w:val="20"/>
        </w:rPr>
        <w:t xml:space="preserve">in het licht van de digitaliseringsdoelstelling van het programma VPS </w:t>
      </w:r>
      <w:r>
        <w:rPr>
          <w:bCs/>
          <w:iCs/>
          <w:sz w:val="20"/>
          <w:szCs w:val="20"/>
        </w:rPr>
        <w:t>wenselijk.</w:t>
      </w:r>
      <w:r w:rsidRPr="00A5651E">
        <w:rPr>
          <w:bCs/>
          <w:iCs/>
          <w:sz w:val="20"/>
          <w:szCs w:val="20"/>
        </w:rPr>
        <w:t xml:space="preserve"> </w:t>
      </w:r>
      <w:r>
        <w:rPr>
          <w:bCs/>
          <w:iCs/>
          <w:sz w:val="20"/>
          <w:szCs w:val="20"/>
        </w:rPr>
        <w:t>H</w:t>
      </w:r>
      <w:r w:rsidRPr="00A5651E">
        <w:rPr>
          <w:bCs/>
          <w:iCs/>
          <w:sz w:val="20"/>
          <w:szCs w:val="20"/>
        </w:rPr>
        <w:t xml:space="preserve">iermee </w:t>
      </w:r>
      <w:r>
        <w:rPr>
          <w:bCs/>
          <w:iCs/>
          <w:sz w:val="20"/>
          <w:szCs w:val="20"/>
        </w:rPr>
        <w:t xml:space="preserve">kan </w:t>
      </w:r>
      <w:r w:rsidRPr="00A5651E">
        <w:rPr>
          <w:bCs/>
          <w:iCs/>
          <w:sz w:val="20"/>
          <w:szCs w:val="20"/>
        </w:rPr>
        <w:t xml:space="preserve">de huidige praktijk van een tweevoudig logistiek proces en een dubbele archivering (van papieren en digitale stukken) </w:t>
      </w:r>
      <w:r>
        <w:rPr>
          <w:bCs/>
          <w:iCs/>
          <w:sz w:val="20"/>
          <w:szCs w:val="20"/>
        </w:rPr>
        <w:t xml:space="preserve">worden </w:t>
      </w:r>
      <w:r w:rsidRPr="00A5651E">
        <w:rPr>
          <w:bCs/>
          <w:iCs/>
          <w:sz w:val="20"/>
          <w:szCs w:val="20"/>
        </w:rPr>
        <w:t xml:space="preserve">voorkomen. </w:t>
      </w:r>
      <w:r>
        <w:rPr>
          <w:bCs/>
          <w:iCs/>
          <w:sz w:val="20"/>
          <w:szCs w:val="20"/>
        </w:rPr>
        <w:t xml:space="preserve">Op de keuze voor elektronisch werken met </w:t>
      </w:r>
      <w:proofErr w:type="gramStart"/>
      <w:r>
        <w:rPr>
          <w:bCs/>
          <w:iCs/>
          <w:sz w:val="20"/>
          <w:szCs w:val="20"/>
        </w:rPr>
        <w:t>een</w:t>
      </w:r>
      <w:proofErr w:type="gramEnd"/>
      <w:r>
        <w:rPr>
          <w:bCs/>
          <w:iCs/>
          <w:sz w:val="20"/>
          <w:szCs w:val="20"/>
        </w:rPr>
        <w:t xml:space="preserve"> elektronisch processtukken en procesdossiers kan de keuze volgen van een eenduidige elektronische archivering. </w:t>
      </w:r>
    </w:p>
    <w:p w:rsidR="00FF589D" w:rsidRDefault="00FF589D" w:rsidP="00FF589D">
      <w:pPr>
        <w:spacing w:line="360" w:lineRule="auto"/>
        <w:outlineLvl w:val="4"/>
        <w:rPr>
          <w:bCs/>
          <w:iCs/>
          <w:sz w:val="20"/>
          <w:szCs w:val="20"/>
        </w:rPr>
      </w:pPr>
    </w:p>
    <w:p w:rsidR="00FF589D" w:rsidRPr="00440CD7" w:rsidRDefault="00FF589D" w:rsidP="00FF589D">
      <w:pPr>
        <w:spacing w:line="360" w:lineRule="auto"/>
        <w:outlineLvl w:val="4"/>
        <w:rPr>
          <w:bCs/>
          <w:iCs/>
          <w:sz w:val="20"/>
          <w:szCs w:val="20"/>
        </w:rPr>
      </w:pPr>
      <w:r w:rsidRPr="00A5651E">
        <w:rPr>
          <w:b/>
          <w:bCs/>
          <w:i/>
          <w:iCs/>
          <w:sz w:val="20"/>
          <w:szCs w:val="20"/>
        </w:rPr>
        <w:t xml:space="preserve">3. Omzetting: vervanging door elektronische </w:t>
      </w:r>
      <w:r>
        <w:rPr>
          <w:b/>
          <w:bCs/>
          <w:i/>
          <w:iCs/>
          <w:sz w:val="20"/>
          <w:szCs w:val="20"/>
        </w:rPr>
        <w:t>reproductie</w:t>
      </w:r>
      <w:r w:rsidRPr="00A5651E">
        <w:rPr>
          <w:b/>
          <w:bCs/>
          <w:i/>
          <w:iCs/>
          <w:sz w:val="20"/>
          <w:szCs w:val="20"/>
        </w:rPr>
        <w:t>s</w:t>
      </w:r>
    </w:p>
    <w:p w:rsidR="00FF589D" w:rsidRDefault="00FF589D" w:rsidP="00FF589D">
      <w:pPr>
        <w:spacing w:line="360" w:lineRule="auto"/>
        <w:outlineLvl w:val="4"/>
        <w:rPr>
          <w:b/>
          <w:bCs/>
          <w:i/>
          <w:iCs/>
          <w:sz w:val="20"/>
          <w:szCs w:val="20"/>
        </w:rPr>
      </w:pPr>
      <w:r w:rsidRPr="00A5651E">
        <w:rPr>
          <w:bCs/>
          <w:iCs/>
          <w:sz w:val="20"/>
          <w:szCs w:val="20"/>
        </w:rPr>
        <w:t xml:space="preserve">De </w:t>
      </w:r>
      <w:proofErr w:type="spellStart"/>
      <w:r w:rsidRPr="00A5651E">
        <w:rPr>
          <w:bCs/>
          <w:iCs/>
          <w:sz w:val="20"/>
          <w:szCs w:val="20"/>
        </w:rPr>
        <w:t>Aw</w:t>
      </w:r>
      <w:proofErr w:type="spellEnd"/>
      <w:r w:rsidRPr="00A5651E">
        <w:rPr>
          <w:bCs/>
          <w:iCs/>
          <w:sz w:val="20"/>
          <w:szCs w:val="20"/>
        </w:rPr>
        <w:t xml:space="preserve"> en daarop gebaseerde nadere regelgeving maken het mogelijk de papieren documenten te vervangen door elektronische stukken. </w:t>
      </w:r>
      <w:r>
        <w:rPr>
          <w:bCs/>
          <w:iCs/>
          <w:sz w:val="20"/>
          <w:szCs w:val="20"/>
        </w:rPr>
        <w:t>Door een juiste en volledige vervanging</w:t>
      </w:r>
      <w:r w:rsidRPr="00A5651E">
        <w:rPr>
          <w:bCs/>
          <w:iCs/>
          <w:sz w:val="20"/>
          <w:szCs w:val="20"/>
        </w:rPr>
        <w:t xml:space="preserve"> kan voor het papieren origineel een elektronisch origineel in de plaats komen en de papieren versie</w:t>
      </w:r>
      <w:r>
        <w:rPr>
          <w:bCs/>
          <w:iCs/>
          <w:sz w:val="20"/>
          <w:szCs w:val="20"/>
        </w:rPr>
        <w:t xml:space="preserve"> worden</w:t>
      </w:r>
      <w:r w:rsidRPr="00A5651E">
        <w:rPr>
          <w:bCs/>
          <w:iCs/>
          <w:sz w:val="20"/>
          <w:szCs w:val="20"/>
        </w:rPr>
        <w:t xml:space="preserve"> vernietigd. Zoals aangegeven </w:t>
      </w:r>
      <w:r>
        <w:rPr>
          <w:bCs/>
          <w:iCs/>
          <w:sz w:val="20"/>
          <w:szCs w:val="20"/>
        </w:rPr>
        <w:t>betreft</w:t>
      </w:r>
      <w:r w:rsidRPr="00A5651E">
        <w:rPr>
          <w:bCs/>
          <w:iCs/>
          <w:sz w:val="20"/>
          <w:szCs w:val="20"/>
        </w:rPr>
        <w:t xml:space="preserve"> deze werkwijze van het elektronisch reproduceren van papieren stukken </w:t>
      </w:r>
      <w:r>
        <w:rPr>
          <w:bCs/>
          <w:iCs/>
          <w:sz w:val="20"/>
          <w:szCs w:val="20"/>
        </w:rPr>
        <w:t>een tussenfase</w:t>
      </w:r>
      <w:r w:rsidRPr="00E3337D">
        <w:rPr>
          <w:bCs/>
          <w:iCs/>
          <w:sz w:val="20"/>
          <w:szCs w:val="20"/>
        </w:rPr>
        <w:t xml:space="preserve">. Op de fase waarin gewerkt wordt met gedigitaliseerde processtukken </w:t>
      </w:r>
      <w:r>
        <w:rPr>
          <w:bCs/>
          <w:iCs/>
          <w:sz w:val="20"/>
          <w:szCs w:val="20"/>
        </w:rPr>
        <w:t>zal de fase volgen van volledig gedigitaliseerd werkproces, inclusief de uitwisseling van elektronische documenten, zodat de voordelen van digitalisering optimaal worden benut</w:t>
      </w:r>
      <w:r w:rsidRPr="00E3337D">
        <w:rPr>
          <w:bCs/>
          <w:iCs/>
          <w:sz w:val="20"/>
          <w:szCs w:val="20"/>
        </w:rPr>
        <w:t xml:space="preserve">. </w:t>
      </w:r>
      <w:proofErr w:type="gramStart"/>
      <w:r w:rsidRPr="00E3337D">
        <w:rPr>
          <w:bCs/>
          <w:iCs/>
          <w:sz w:val="20"/>
          <w:szCs w:val="20"/>
        </w:rPr>
        <w:t>Alsdan</w:t>
      </w:r>
      <w:proofErr w:type="gramEnd"/>
      <w:r w:rsidRPr="00E3337D">
        <w:rPr>
          <w:bCs/>
          <w:iCs/>
          <w:sz w:val="20"/>
          <w:szCs w:val="20"/>
        </w:rPr>
        <w:t xml:space="preserve"> is vervanging door middel van </w:t>
      </w:r>
      <w:r>
        <w:rPr>
          <w:bCs/>
          <w:iCs/>
          <w:sz w:val="20"/>
          <w:szCs w:val="20"/>
        </w:rPr>
        <w:t>reproductie</w:t>
      </w:r>
      <w:r w:rsidRPr="00E3337D">
        <w:rPr>
          <w:bCs/>
          <w:iCs/>
          <w:sz w:val="20"/>
          <w:szCs w:val="20"/>
        </w:rPr>
        <w:t xml:space="preserve"> niet of nauwelijks meer nodig.</w:t>
      </w:r>
    </w:p>
    <w:p w:rsidR="00FF589D" w:rsidRPr="0062532B" w:rsidRDefault="00FF589D" w:rsidP="00FF589D">
      <w:pPr>
        <w:spacing w:line="360" w:lineRule="auto"/>
        <w:outlineLvl w:val="4"/>
        <w:rPr>
          <w:b/>
          <w:bCs/>
          <w:i/>
          <w:iCs/>
          <w:sz w:val="20"/>
          <w:szCs w:val="20"/>
        </w:rPr>
      </w:pPr>
    </w:p>
    <w:p w:rsidR="00FF589D" w:rsidRDefault="00FF589D" w:rsidP="00FF589D">
      <w:pPr>
        <w:spacing w:line="360" w:lineRule="auto"/>
        <w:outlineLvl w:val="4"/>
        <w:rPr>
          <w:bCs/>
          <w:iCs/>
          <w:sz w:val="20"/>
          <w:szCs w:val="20"/>
        </w:rPr>
      </w:pPr>
      <w:r w:rsidRPr="00B55410">
        <w:rPr>
          <w:bCs/>
          <w:iCs/>
          <w:sz w:val="20"/>
          <w:szCs w:val="20"/>
        </w:rPr>
        <w:t>Het nieuwe artikel 4</w:t>
      </w:r>
      <w:r>
        <w:rPr>
          <w:bCs/>
          <w:iCs/>
          <w:sz w:val="20"/>
          <w:szCs w:val="20"/>
        </w:rPr>
        <w:t>, eerste lid,</w:t>
      </w:r>
      <w:r w:rsidRPr="00B55410">
        <w:rPr>
          <w:bCs/>
          <w:iCs/>
          <w:sz w:val="20"/>
          <w:szCs w:val="20"/>
        </w:rPr>
        <w:t xml:space="preserve"> </w:t>
      </w:r>
      <w:proofErr w:type="spellStart"/>
      <w:r>
        <w:rPr>
          <w:bCs/>
          <w:iCs/>
          <w:sz w:val="20"/>
          <w:szCs w:val="20"/>
        </w:rPr>
        <w:t>Bepv</w:t>
      </w:r>
      <w:proofErr w:type="spellEnd"/>
      <w:r w:rsidRPr="00B55410">
        <w:rPr>
          <w:bCs/>
          <w:iCs/>
          <w:sz w:val="20"/>
          <w:szCs w:val="20"/>
        </w:rPr>
        <w:t xml:space="preserve"> bevat de kern, de normering, van de nieuwe omzettingsregeling. In het eerste lid is bepaald dat voor de omzetting langs elektronische weg de eisen gelden </w:t>
      </w:r>
      <w:r>
        <w:rPr>
          <w:sz w:val="20"/>
          <w:szCs w:val="20"/>
        </w:rPr>
        <w:t>die in artikel 6 en 8 van het Archiefbesluit 1995 (Ab) en artikel 26b van de Archiefregeling (Ar) worden gesteld</w:t>
      </w:r>
      <w:r>
        <w:rPr>
          <w:bCs/>
          <w:iCs/>
          <w:sz w:val="20"/>
          <w:szCs w:val="20"/>
        </w:rPr>
        <w:t xml:space="preserve"> </w:t>
      </w:r>
      <w:r w:rsidRPr="00B55410">
        <w:rPr>
          <w:bCs/>
          <w:iCs/>
          <w:sz w:val="20"/>
          <w:szCs w:val="20"/>
        </w:rPr>
        <w:t xml:space="preserve">aan de vervanging door </w:t>
      </w:r>
      <w:r>
        <w:rPr>
          <w:bCs/>
          <w:iCs/>
          <w:sz w:val="20"/>
          <w:szCs w:val="20"/>
        </w:rPr>
        <w:lastRenderedPageBreak/>
        <w:t>reproductie</w:t>
      </w:r>
      <w:r w:rsidRPr="00B55410">
        <w:rPr>
          <w:bCs/>
          <w:iCs/>
          <w:sz w:val="20"/>
          <w:szCs w:val="20"/>
        </w:rPr>
        <w:t xml:space="preserve">s. </w:t>
      </w:r>
      <w:r>
        <w:rPr>
          <w:bCs/>
          <w:iCs/>
          <w:sz w:val="20"/>
          <w:szCs w:val="20"/>
        </w:rPr>
        <w:t xml:space="preserve">Artikel 6 van het Ab bevat zoals de </w:t>
      </w:r>
      <w:proofErr w:type="spellStart"/>
      <w:r>
        <w:rPr>
          <w:bCs/>
          <w:iCs/>
          <w:sz w:val="20"/>
          <w:szCs w:val="20"/>
        </w:rPr>
        <w:t>Rvdr</w:t>
      </w:r>
      <w:proofErr w:type="spellEnd"/>
      <w:r>
        <w:rPr>
          <w:bCs/>
          <w:iCs/>
          <w:sz w:val="20"/>
          <w:szCs w:val="20"/>
        </w:rPr>
        <w:t xml:space="preserve"> terecht opmerkt de inhoudelijke norm waaraan de vervanging dient te voldoen: “De vervanging dient te geschieden met juiste en volledige weergave van de in de te vervangen archiefbescheiden voorkomende gegevens.” Artikel 8 van het Ab en artikel 26b van de Ar behelzen procedurele waarborgen. De verklaring van de vervanging (artikel 8) waarborgt dat de zorgdrager desgevraagd verantwoording kan afleggen over de vraag welke stukken hij heeft gereproduceerd en vernietigd. De kennisgeving van de vervanging door middel van een besluit (artikel 26b) waarborgt dat belanghebbenden bezwaar kunnen maken tegen een voorgenomen vervanging. </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sidRPr="00B55410">
        <w:rPr>
          <w:bCs/>
          <w:iCs/>
          <w:sz w:val="20"/>
          <w:szCs w:val="20"/>
        </w:rPr>
        <w:t>Zorgdrager zijn</w:t>
      </w:r>
      <w:r>
        <w:rPr>
          <w:bCs/>
          <w:iCs/>
          <w:sz w:val="20"/>
          <w:szCs w:val="20"/>
        </w:rPr>
        <w:t xml:space="preserve"> onder andere</w:t>
      </w:r>
      <w:r w:rsidRPr="00B55410">
        <w:rPr>
          <w:bCs/>
          <w:iCs/>
          <w:sz w:val="20"/>
          <w:szCs w:val="20"/>
        </w:rPr>
        <w:t xml:space="preserve"> de korpschef (Nationale politie), de Minister van Veiligheid en Justitie (openbaar ministerie) en de Raad voor de rechtspraak (rechtspraak).</w:t>
      </w:r>
      <w:r>
        <w:rPr>
          <w:rStyle w:val="Voetnootmarkering"/>
          <w:bCs/>
          <w:iCs/>
          <w:sz w:val="20"/>
          <w:szCs w:val="20"/>
        </w:rPr>
        <w:footnoteReference w:id="1"/>
      </w:r>
      <w:r w:rsidRPr="00B55410">
        <w:rPr>
          <w:bCs/>
          <w:iCs/>
          <w:sz w:val="20"/>
          <w:szCs w:val="20"/>
        </w:rPr>
        <w:t xml:space="preserve"> Op grond van artikel 7 van de </w:t>
      </w:r>
      <w:proofErr w:type="spellStart"/>
      <w:r w:rsidRPr="00B55410">
        <w:rPr>
          <w:bCs/>
          <w:iCs/>
          <w:sz w:val="20"/>
          <w:szCs w:val="20"/>
        </w:rPr>
        <w:t>Aw</w:t>
      </w:r>
      <w:proofErr w:type="spellEnd"/>
      <w:r w:rsidRPr="00B55410">
        <w:rPr>
          <w:bCs/>
          <w:iCs/>
          <w:sz w:val="20"/>
          <w:szCs w:val="20"/>
        </w:rPr>
        <w:t xml:space="preserve"> is de zorgdrager bevoegd (papieren) archiefbescheiden, en processtukken zijn als zodanig aan te merken, te vervangen door (digitale) </w:t>
      </w:r>
      <w:r>
        <w:rPr>
          <w:bCs/>
          <w:iCs/>
          <w:sz w:val="20"/>
          <w:szCs w:val="20"/>
        </w:rPr>
        <w:t>reproductie</w:t>
      </w:r>
      <w:r w:rsidRPr="00B55410">
        <w:rPr>
          <w:bCs/>
          <w:iCs/>
          <w:sz w:val="20"/>
          <w:szCs w:val="20"/>
        </w:rPr>
        <w:t xml:space="preserve">s, om vervolgens </w:t>
      </w:r>
      <w:proofErr w:type="gramStart"/>
      <w:r w:rsidRPr="00B55410">
        <w:rPr>
          <w:bCs/>
          <w:iCs/>
          <w:sz w:val="20"/>
          <w:szCs w:val="20"/>
        </w:rPr>
        <w:t>de</w:t>
      </w:r>
      <w:proofErr w:type="gramEnd"/>
      <w:r w:rsidRPr="00B55410">
        <w:rPr>
          <w:bCs/>
          <w:iCs/>
          <w:sz w:val="20"/>
          <w:szCs w:val="20"/>
        </w:rPr>
        <w:t xml:space="preserve"> vervangen stukken te vernietigen. </w:t>
      </w:r>
      <w:r w:rsidRPr="009E4088">
        <w:rPr>
          <w:bCs/>
          <w:iCs/>
          <w:sz w:val="20"/>
          <w:szCs w:val="20"/>
        </w:rPr>
        <w:t>Artikel 2 van het Archiefbesluit (Ab) zet uiteen waarmee de zorgdrager bij die selectie rekening dien</w:t>
      </w:r>
      <w:r>
        <w:rPr>
          <w:bCs/>
          <w:iCs/>
          <w:sz w:val="20"/>
          <w:szCs w:val="20"/>
        </w:rPr>
        <w:t>t</w:t>
      </w:r>
      <w:r w:rsidRPr="009E4088">
        <w:rPr>
          <w:bCs/>
          <w:iCs/>
          <w:sz w:val="20"/>
          <w:szCs w:val="20"/>
        </w:rPr>
        <w:t xml:space="preserve"> te houden</w:t>
      </w:r>
      <w:r>
        <w:rPr>
          <w:bCs/>
          <w:iCs/>
          <w:sz w:val="20"/>
          <w:szCs w:val="20"/>
        </w:rPr>
        <w:t xml:space="preserve">, zoals </w:t>
      </w:r>
      <w:r w:rsidRPr="00B55410">
        <w:rPr>
          <w:bCs/>
          <w:iCs/>
          <w:sz w:val="20"/>
          <w:szCs w:val="20"/>
        </w:rPr>
        <w:t>de taak van het overheidsorgaan, de verhouding tot andere overheidsorganen, het belang van de gegevens voor andere overheidsorganen</w:t>
      </w:r>
      <w:r>
        <w:rPr>
          <w:bCs/>
          <w:iCs/>
          <w:sz w:val="20"/>
          <w:szCs w:val="20"/>
        </w:rPr>
        <w:t xml:space="preserve"> en </w:t>
      </w:r>
      <w:r w:rsidRPr="00B55410">
        <w:rPr>
          <w:bCs/>
          <w:iCs/>
          <w:sz w:val="20"/>
          <w:szCs w:val="20"/>
        </w:rPr>
        <w:t xml:space="preserve">voor recht- of </w:t>
      </w:r>
      <w:proofErr w:type="spellStart"/>
      <w:r w:rsidRPr="00B55410">
        <w:rPr>
          <w:bCs/>
          <w:iCs/>
          <w:sz w:val="20"/>
          <w:szCs w:val="20"/>
        </w:rPr>
        <w:t>bewijszoekenden</w:t>
      </w:r>
      <w:proofErr w:type="spellEnd"/>
      <w:r w:rsidRPr="00B55410">
        <w:rPr>
          <w:bCs/>
          <w:iCs/>
          <w:sz w:val="20"/>
          <w:szCs w:val="20"/>
        </w:rPr>
        <w:t>. Dit betekent dat in het geval de politie wenst over te gaan tot omzetting van het proces-verbaal, of het openbaar ministerie en de rechtspraak tot omzetting van processtukken rekening moet worden gehouden met de taakuitvoering van de andere betrokken overheidsorganen uit de strafrechtsketen en het belang van de gegevens voor de verdachte en zijn verdediging. De politie en de bijzondere opsporingsdiensten, het openbaar ministerie en de rechtspraak zullen gezamenlijk uitwerken welke categorieën van processtukken in aanmerking kunnen komen voor elektronische reproductie en vervanging</w:t>
      </w:r>
      <w:r>
        <w:rPr>
          <w:bCs/>
          <w:iCs/>
          <w:sz w:val="20"/>
          <w:szCs w:val="20"/>
        </w:rPr>
        <w:t>.</w:t>
      </w:r>
      <w:r w:rsidRPr="00D94204">
        <w:rPr>
          <w:bCs/>
          <w:iCs/>
          <w:sz w:val="20"/>
          <w:szCs w:val="20"/>
        </w:rPr>
        <w:t xml:space="preserve"> </w:t>
      </w:r>
      <w:r w:rsidRPr="00A84440">
        <w:rPr>
          <w:bCs/>
          <w:iCs/>
          <w:sz w:val="20"/>
          <w:szCs w:val="20"/>
        </w:rPr>
        <w:t>De</w:t>
      </w:r>
      <w:r>
        <w:rPr>
          <w:bCs/>
          <w:iCs/>
          <w:sz w:val="20"/>
          <w:szCs w:val="20"/>
        </w:rPr>
        <w:t>ze</w:t>
      </w:r>
      <w:r w:rsidRPr="00A84440">
        <w:rPr>
          <w:bCs/>
          <w:iCs/>
          <w:sz w:val="20"/>
          <w:szCs w:val="20"/>
        </w:rPr>
        <w:t xml:space="preserve"> zorgdragers zullen in een gezamenlijk besluit kennisgeven van de wijze waarop zij de kwaliteit van de vervanging </w:t>
      </w:r>
      <w:r>
        <w:rPr>
          <w:bCs/>
          <w:iCs/>
          <w:sz w:val="20"/>
          <w:szCs w:val="20"/>
        </w:rPr>
        <w:t>van processtukken door</w:t>
      </w:r>
      <w:r w:rsidRPr="00A84440">
        <w:rPr>
          <w:bCs/>
          <w:iCs/>
          <w:sz w:val="20"/>
          <w:szCs w:val="20"/>
        </w:rPr>
        <w:t xml:space="preserve"> elektronische </w:t>
      </w:r>
      <w:r>
        <w:rPr>
          <w:bCs/>
          <w:iCs/>
          <w:sz w:val="20"/>
          <w:szCs w:val="20"/>
        </w:rPr>
        <w:t>reproductie</w:t>
      </w:r>
      <w:r w:rsidRPr="00A84440">
        <w:rPr>
          <w:bCs/>
          <w:iCs/>
          <w:sz w:val="20"/>
          <w:szCs w:val="20"/>
        </w:rPr>
        <w:t>s</w:t>
      </w:r>
      <w:r>
        <w:rPr>
          <w:bCs/>
          <w:iCs/>
          <w:sz w:val="20"/>
          <w:szCs w:val="20"/>
        </w:rPr>
        <w:t xml:space="preserve"> als genoemd in artikel 26b Ar</w:t>
      </w:r>
      <w:r w:rsidRPr="00A84440">
        <w:rPr>
          <w:bCs/>
          <w:iCs/>
          <w:sz w:val="20"/>
          <w:szCs w:val="20"/>
        </w:rPr>
        <w:t xml:space="preserve"> verzekeren. Dit </w:t>
      </w:r>
      <w:r>
        <w:rPr>
          <w:bCs/>
          <w:iCs/>
          <w:sz w:val="20"/>
          <w:szCs w:val="20"/>
        </w:rPr>
        <w:t>vervangings</w:t>
      </w:r>
      <w:r w:rsidRPr="00A84440">
        <w:rPr>
          <w:bCs/>
          <w:iCs/>
          <w:sz w:val="20"/>
          <w:szCs w:val="20"/>
        </w:rPr>
        <w:t xml:space="preserve">besluit zal </w:t>
      </w:r>
      <w:proofErr w:type="gramStart"/>
      <w:r w:rsidRPr="00A84440">
        <w:rPr>
          <w:bCs/>
          <w:iCs/>
          <w:sz w:val="20"/>
          <w:szCs w:val="20"/>
        </w:rPr>
        <w:t>overeenkomstig</w:t>
      </w:r>
      <w:proofErr w:type="gramEnd"/>
      <w:r w:rsidRPr="00A84440">
        <w:rPr>
          <w:bCs/>
          <w:iCs/>
          <w:sz w:val="20"/>
          <w:szCs w:val="20"/>
        </w:rPr>
        <w:t xml:space="preserve"> ook geld</w:t>
      </w:r>
      <w:r>
        <w:rPr>
          <w:bCs/>
          <w:iCs/>
          <w:sz w:val="20"/>
          <w:szCs w:val="20"/>
        </w:rPr>
        <w:t>en</w:t>
      </w:r>
      <w:r w:rsidRPr="00A84440">
        <w:rPr>
          <w:bCs/>
          <w:iCs/>
          <w:sz w:val="20"/>
          <w:szCs w:val="20"/>
        </w:rPr>
        <w:t xml:space="preserve"> voor het digitaal afschrift (artikel 4, tweede lid) </w:t>
      </w:r>
      <w:r>
        <w:rPr>
          <w:bCs/>
          <w:iCs/>
          <w:sz w:val="20"/>
          <w:szCs w:val="20"/>
        </w:rPr>
        <w:t>van het proces-verbaal. Uitzondering daarop is dat</w:t>
      </w:r>
      <w:r w:rsidRPr="00A84440">
        <w:rPr>
          <w:bCs/>
          <w:iCs/>
          <w:sz w:val="20"/>
          <w:szCs w:val="20"/>
        </w:rPr>
        <w:t xml:space="preserve"> de in het besluit beschreven procedure voor de vernietiging van de originelen en de verklaringen d</w:t>
      </w:r>
      <w:r>
        <w:rPr>
          <w:bCs/>
          <w:iCs/>
          <w:sz w:val="20"/>
          <w:szCs w:val="20"/>
        </w:rPr>
        <w:t xml:space="preserve">ie daarvan gedaan moeten worden </w:t>
      </w:r>
      <w:r w:rsidRPr="00A84440">
        <w:rPr>
          <w:bCs/>
          <w:iCs/>
          <w:sz w:val="20"/>
          <w:szCs w:val="20"/>
        </w:rPr>
        <w:t>niet van toepassing zijn</w:t>
      </w:r>
      <w:r>
        <w:rPr>
          <w:bCs/>
          <w:iCs/>
          <w:sz w:val="20"/>
          <w:szCs w:val="20"/>
        </w:rPr>
        <w:t xml:space="preserve">. Dit zal zich vooral voordoen in de overgangsperiode naar het volledig digitaal werken, aangezien op basis van het nieuwe artikel 4, tweede lid, </w:t>
      </w:r>
      <w:proofErr w:type="spellStart"/>
      <w:r>
        <w:rPr>
          <w:bCs/>
          <w:iCs/>
          <w:sz w:val="20"/>
          <w:szCs w:val="20"/>
        </w:rPr>
        <w:t>Bepv</w:t>
      </w:r>
      <w:proofErr w:type="spellEnd"/>
      <w:r>
        <w:rPr>
          <w:bCs/>
          <w:iCs/>
          <w:sz w:val="20"/>
          <w:szCs w:val="20"/>
        </w:rPr>
        <w:t>, het originele papieren proces-verbaal na de totstandkoming van een digitaal afschrift door het scannen daarvan niet mag worden vernietigd.</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sidRPr="00D94204">
        <w:rPr>
          <w:bCs/>
          <w:iCs/>
          <w:sz w:val="20"/>
          <w:szCs w:val="20"/>
        </w:rPr>
        <w:t>Ook het ontwerpen van de selectielijsten voor bewaring dient gezamenlijk te worden opgepakt</w:t>
      </w:r>
      <w:r>
        <w:rPr>
          <w:bCs/>
          <w:iCs/>
          <w:sz w:val="20"/>
          <w:szCs w:val="20"/>
        </w:rPr>
        <w:t xml:space="preserve"> door de zorgdragers</w:t>
      </w:r>
      <w:r w:rsidRPr="00D94204">
        <w:rPr>
          <w:bCs/>
          <w:iCs/>
          <w:sz w:val="20"/>
          <w:szCs w:val="20"/>
        </w:rPr>
        <w:t xml:space="preserve">. Deze bepalen immers welke processtukken voor omzetting door </w:t>
      </w:r>
      <w:r>
        <w:rPr>
          <w:bCs/>
          <w:iCs/>
          <w:sz w:val="20"/>
          <w:szCs w:val="20"/>
        </w:rPr>
        <w:t>reproductie</w:t>
      </w:r>
      <w:r w:rsidRPr="00D94204">
        <w:rPr>
          <w:bCs/>
          <w:iCs/>
          <w:sz w:val="20"/>
          <w:szCs w:val="20"/>
        </w:rPr>
        <w:t>s in aanmerking komen.</w:t>
      </w:r>
      <w:r w:rsidRPr="00D94204">
        <w:rPr>
          <w:sz w:val="20"/>
          <w:szCs w:val="20"/>
        </w:rPr>
        <w:t xml:space="preserve"> </w:t>
      </w:r>
      <w:r w:rsidRPr="00D94204">
        <w:rPr>
          <w:bCs/>
          <w:iCs/>
          <w:sz w:val="20"/>
          <w:szCs w:val="20"/>
        </w:rPr>
        <w:t>Voorkomen moet worden dat stukken van overtuiging worden vervangen</w:t>
      </w:r>
      <w:r>
        <w:rPr>
          <w:bCs/>
          <w:iCs/>
          <w:sz w:val="20"/>
          <w:szCs w:val="20"/>
        </w:rPr>
        <w:t>,</w:t>
      </w:r>
      <w:r w:rsidRPr="00D94204">
        <w:rPr>
          <w:bCs/>
          <w:iCs/>
          <w:sz w:val="20"/>
          <w:szCs w:val="20"/>
        </w:rPr>
        <w:t xml:space="preserve"> omdat dit zou betekenen dat met de </w:t>
      </w:r>
      <w:r>
        <w:rPr>
          <w:bCs/>
          <w:iCs/>
          <w:sz w:val="20"/>
          <w:szCs w:val="20"/>
        </w:rPr>
        <w:t xml:space="preserve">vervanging van deze stukken </w:t>
      </w:r>
      <w:r w:rsidRPr="00D94204">
        <w:rPr>
          <w:bCs/>
          <w:iCs/>
          <w:sz w:val="20"/>
          <w:szCs w:val="20"/>
        </w:rPr>
        <w:t>bewijs</w:t>
      </w:r>
      <w:r>
        <w:rPr>
          <w:bCs/>
          <w:iCs/>
          <w:sz w:val="20"/>
          <w:szCs w:val="20"/>
        </w:rPr>
        <w:t>materiaal</w:t>
      </w:r>
      <w:r w:rsidRPr="00D94204">
        <w:rPr>
          <w:bCs/>
          <w:iCs/>
          <w:sz w:val="20"/>
          <w:szCs w:val="20"/>
        </w:rPr>
        <w:t xml:space="preserve"> wordt vernietigd. Het ligt daarom</w:t>
      </w:r>
      <w:r>
        <w:rPr>
          <w:bCs/>
          <w:iCs/>
          <w:sz w:val="20"/>
          <w:szCs w:val="20"/>
        </w:rPr>
        <w:t xml:space="preserve">, </w:t>
      </w:r>
      <w:proofErr w:type="gramStart"/>
      <w:r>
        <w:rPr>
          <w:bCs/>
          <w:iCs/>
          <w:sz w:val="20"/>
          <w:szCs w:val="20"/>
        </w:rPr>
        <w:t>overeenkomstig</w:t>
      </w:r>
      <w:proofErr w:type="gramEnd"/>
      <w:r>
        <w:rPr>
          <w:bCs/>
          <w:iCs/>
          <w:sz w:val="20"/>
          <w:szCs w:val="20"/>
        </w:rPr>
        <w:t xml:space="preserve"> de opmerking van het Platform </w:t>
      </w:r>
      <w:proofErr w:type="spellStart"/>
      <w:r>
        <w:rPr>
          <w:bCs/>
          <w:iCs/>
          <w:sz w:val="20"/>
          <w:szCs w:val="20"/>
        </w:rPr>
        <w:t>BOD-en</w:t>
      </w:r>
      <w:proofErr w:type="spellEnd"/>
      <w:r>
        <w:rPr>
          <w:bCs/>
          <w:iCs/>
          <w:sz w:val="20"/>
          <w:szCs w:val="20"/>
        </w:rPr>
        <w:t>,</w:t>
      </w:r>
      <w:r w:rsidRPr="00D94204">
        <w:rPr>
          <w:bCs/>
          <w:iCs/>
          <w:sz w:val="20"/>
          <w:szCs w:val="20"/>
        </w:rPr>
        <w:t xml:space="preserve"> in de rede eerst nog terughoudend te zijn met bijvoorbeeld het elektronisch reproduceren en vervangen van processtukken van mensensmokkel, fraudezaken of valsheid in geschrifte.</w:t>
      </w:r>
    </w:p>
    <w:p w:rsidR="00FF589D" w:rsidRDefault="00FF589D" w:rsidP="00FF589D">
      <w:pPr>
        <w:spacing w:line="360" w:lineRule="auto"/>
        <w:outlineLvl w:val="4"/>
        <w:rPr>
          <w:bCs/>
          <w:iCs/>
          <w:sz w:val="20"/>
          <w:szCs w:val="20"/>
        </w:rPr>
      </w:pPr>
    </w:p>
    <w:p w:rsidR="00FF589D" w:rsidRPr="00D94204" w:rsidRDefault="00FF589D" w:rsidP="00FF589D">
      <w:pPr>
        <w:spacing w:line="360" w:lineRule="auto"/>
        <w:outlineLvl w:val="4"/>
        <w:rPr>
          <w:bCs/>
          <w:iCs/>
          <w:sz w:val="20"/>
          <w:szCs w:val="20"/>
        </w:rPr>
      </w:pPr>
      <w:r>
        <w:rPr>
          <w:bCs/>
          <w:iCs/>
          <w:sz w:val="20"/>
          <w:szCs w:val="20"/>
        </w:rPr>
        <w:t xml:space="preserve">De mogelijkheid om processen-verbaal en overige processtukken te vervangen brengt onherroepelijk met zich dat deze stukken elektronisch </w:t>
      </w:r>
      <w:proofErr w:type="spellStart"/>
      <w:r>
        <w:rPr>
          <w:bCs/>
          <w:iCs/>
          <w:sz w:val="20"/>
          <w:szCs w:val="20"/>
        </w:rPr>
        <w:t>archiveerbaar</w:t>
      </w:r>
      <w:proofErr w:type="spellEnd"/>
      <w:r>
        <w:rPr>
          <w:bCs/>
          <w:iCs/>
          <w:sz w:val="20"/>
          <w:szCs w:val="20"/>
        </w:rPr>
        <w:t xml:space="preserve"> worden opgeslagen dan wel elektronisch gearchiveerd worden. Niet noodzakelijk is, zoals de </w:t>
      </w:r>
      <w:proofErr w:type="spellStart"/>
      <w:r>
        <w:rPr>
          <w:bCs/>
          <w:iCs/>
          <w:sz w:val="20"/>
          <w:szCs w:val="20"/>
        </w:rPr>
        <w:t>Rvdr</w:t>
      </w:r>
      <w:proofErr w:type="spellEnd"/>
      <w:r>
        <w:rPr>
          <w:bCs/>
          <w:iCs/>
          <w:sz w:val="20"/>
          <w:szCs w:val="20"/>
        </w:rPr>
        <w:t xml:space="preserve"> in haar advies opmerkt, dat een elektronisch archief beschikbaar dient te zijn alvorens kan worden overgegaan tot daadwerkelijke vervanging. Van belang is wel dat de opslag in een systeem voldoet aan de eisen die de Ar stelt aan de identificeerbaarheid, duurzaamheid en controleerbaarheid van de authenticiteit en integriteit van elektronische archiefbescheiden. </w:t>
      </w:r>
    </w:p>
    <w:p w:rsidR="00FF589D" w:rsidRDefault="00FF589D" w:rsidP="00FF589D">
      <w:pPr>
        <w:spacing w:line="360" w:lineRule="auto"/>
        <w:outlineLvl w:val="4"/>
        <w:rPr>
          <w:bCs/>
          <w:iCs/>
          <w:sz w:val="20"/>
          <w:szCs w:val="20"/>
        </w:rPr>
      </w:pPr>
    </w:p>
    <w:p w:rsidR="00FF589D" w:rsidRPr="00B01F93" w:rsidRDefault="00FF589D" w:rsidP="00FF589D">
      <w:pPr>
        <w:spacing w:line="360" w:lineRule="auto"/>
        <w:outlineLvl w:val="4"/>
        <w:rPr>
          <w:b/>
          <w:bCs/>
          <w:i/>
          <w:iCs/>
          <w:sz w:val="20"/>
          <w:szCs w:val="20"/>
        </w:rPr>
      </w:pPr>
      <w:r w:rsidRPr="00B01F93">
        <w:rPr>
          <w:b/>
          <w:bCs/>
          <w:i/>
          <w:iCs/>
          <w:sz w:val="20"/>
          <w:szCs w:val="20"/>
        </w:rPr>
        <w:t xml:space="preserve">4. </w:t>
      </w:r>
      <w:r>
        <w:rPr>
          <w:b/>
          <w:bCs/>
          <w:i/>
          <w:iCs/>
          <w:sz w:val="20"/>
          <w:szCs w:val="20"/>
        </w:rPr>
        <w:t>Verhouding tot conceptwetsvoorstel digitale processtukken</w:t>
      </w:r>
    </w:p>
    <w:p w:rsidR="00FF589D" w:rsidRDefault="00FF589D" w:rsidP="00FF589D">
      <w:pPr>
        <w:spacing w:line="360" w:lineRule="auto"/>
        <w:outlineLvl w:val="4"/>
        <w:rPr>
          <w:bCs/>
          <w:iCs/>
          <w:sz w:val="20"/>
          <w:szCs w:val="20"/>
        </w:rPr>
      </w:pPr>
      <w:r>
        <w:rPr>
          <w:bCs/>
          <w:iCs/>
          <w:sz w:val="20"/>
          <w:szCs w:val="20"/>
        </w:rPr>
        <w:t>H</w:t>
      </w:r>
      <w:r w:rsidRPr="00B01F93">
        <w:rPr>
          <w:bCs/>
          <w:iCs/>
          <w:sz w:val="20"/>
          <w:szCs w:val="20"/>
        </w:rPr>
        <w:t xml:space="preserve">et conceptwetsvoorstel tot wijziging van het Wetboek van Strafvordering en de Wet op de economische delicten in verband met het gebruik van elektronische processtukken (conceptwetsvoorstel digitale processtukken) </w:t>
      </w:r>
      <w:proofErr w:type="gramStart"/>
      <w:r w:rsidRPr="00B01F93">
        <w:rPr>
          <w:bCs/>
          <w:iCs/>
          <w:sz w:val="20"/>
          <w:szCs w:val="20"/>
        </w:rPr>
        <w:t xml:space="preserve">dat </w:t>
      </w:r>
      <w:r>
        <w:rPr>
          <w:bCs/>
          <w:iCs/>
          <w:sz w:val="20"/>
          <w:szCs w:val="20"/>
        </w:rPr>
        <w:t xml:space="preserve"> </w:t>
      </w:r>
      <w:proofErr w:type="gramEnd"/>
      <w:r w:rsidRPr="00B01F93">
        <w:rPr>
          <w:bCs/>
          <w:iCs/>
          <w:sz w:val="20"/>
          <w:szCs w:val="20"/>
        </w:rPr>
        <w:t xml:space="preserve">thans aanhangig is gemaakt bij de Afdeling advisering van de Raad van State, beoogt het gebruik van de digitale processtukken te faciliteren en te kanaliseren en voorziet onder andere in een regeling voor de integriteit van het elektronisch ondertekenen en waarmerken van processtukken, waaronder het proces-verbaal van de ambtenaar. </w:t>
      </w:r>
      <w:r>
        <w:rPr>
          <w:bCs/>
          <w:iCs/>
          <w:sz w:val="20"/>
          <w:szCs w:val="20"/>
        </w:rPr>
        <w:t xml:space="preserve">Conform de opmerking van de </w:t>
      </w:r>
      <w:proofErr w:type="spellStart"/>
      <w:r>
        <w:rPr>
          <w:bCs/>
          <w:iCs/>
          <w:sz w:val="20"/>
          <w:szCs w:val="20"/>
        </w:rPr>
        <w:t>Rvdr</w:t>
      </w:r>
      <w:proofErr w:type="spellEnd"/>
      <w:r>
        <w:rPr>
          <w:bCs/>
          <w:iCs/>
          <w:sz w:val="20"/>
          <w:szCs w:val="20"/>
        </w:rPr>
        <w:t xml:space="preserve"> wordt in het navolgende kort ingegaan op de verhouding van de voorgestelde wijzigingen met het conceptwetsvoorstel digitale processtukken.</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sidRPr="00B01F93">
        <w:rPr>
          <w:bCs/>
          <w:iCs/>
          <w:sz w:val="20"/>
          <w:szCs w:val="20"/>
        </w:rPr>
        <w:t xml:space="preserve">In de toelichting bij dit conceptwetsvoorstel is uiteengezet dat het </w:t>
      </w:r>
      <w:proofErr w:type="spellStart"/>
      <w:r w:rsidRPr="00B01F93">
        <w:rPr>
          <w:bCs/>
          <w:iCs/>
          <w:sz w:val="20"/>
          <w:szCs w:val="20"/>
        </w:rPr>
        <w:t>Bepv</w:t>
      </w:r>
      <w:proofErr w:type="spellEnd"/>
      <w:r w:rsidRPr="00B01F93">
        <w:rPr>
          <w:bCs/>
          <w:iCs/>
          <w:sz w:val="20"/>
          <w:szCs w:val="20"/>
        </w:rPr>
        <w:t xml:space="preserve"> zal worden ingetrokken. Belangrijkste reden is dat het niet wenselijk is een aparte regeling voor de elektronische handtekening voor het proces-verbaal van de opsporingsambtenaar te handhaven naast een regeling voor andere procesdeelnemers, processtukken en het vonnis. Dat het </w:t>
      </w:r>
      <w:proofErr w:type="spellStart"/>
      <w:r w:rsidRPr="00B01F93">
        <w:rPr>
          <w:bCs/>
          <w:iCs/>
          <w:sz w:val="20"/>
          <w:szCs w:val="20"/>
        </w:rPr>
        <w:t>Bepv</w:t>
      </w:r>
      <w:proofErr w:type="spellEnd"/>
      <w:r w:rsidRPr="00B01F93">
        <w:rPr>
          <w:bCs/>
          <w:iCs/>
          <w:sz w:val="20"/>
          <w:szCs w:val="20"/>
        </w:rPr>
        <w:t xml:space="preserve"> vooruitlopend op de intrekking </w:t>
      </w:r>
      <w:proofErr w:type="gramStart"/>
      <w:r w:rsidRPr="00B01F93">
        <w:rPr>
          <w:bCs/>
          <w:iCs/>
          <w:sz w:val="20"/>
          <w:szCs w:val="20"/>
        </w:rPr>
        <w:t>desalniettemin</w:t>
      </w:r>
      <w:proofErr w:type="gramEnd"/>
      <w:r w:rsidRPr="00B01F93">
        <w:rPr>
          <w:bCs/>
          <w:iCs/>
          <w:sz w:val="20"/>
          <w:szCs w:val="20"/>
        </w:rPr>
        <w:t xml:space="preserve"> is gewijzigd</w:t>
      </w:r>
      <w:r>
        <w:rPr>
          <w:bCs/>
          <w:iCs/>
          <w:sz w:val="20"/>
          <w:szCs w:val="20"/>
        </w:rPr>
        <w:t>,</w:t>
      </w:r>
      <w:r w:rsidRPr="00B01F93">
        <w:rPr>
          <w:bCs/>
          <w:iCs/>
          <w:sz w:val="20"/>
          <w:szCs w:val="20"/>
        </w:rPr>
        <w:t xml:space="preserve"> heeft twee redenen. De eerste reden is juridisch van aard. Gelet op de eigen verantwoordelijkheid van de zorgdrager voor de </w:t>
      </w:r>
      <w:r>
        <w:rPr>
          <w:bCs/>
          <w:iCs/>
          <w:sz w:val="20"/>
          <w:szCs w:val="20"/>
        </w:rPr>
        <w:t>reproductie</w:t>
      </w:r>
      <w:r w:rsidRPr="00B01F93">
        <w:rPr>
          <w:bCs/>
          <w:iCs/>
          <w:sz w:val="20"/>
          <w:szCs w:val="20"/>
        </w:rPr>
        <w:t xml:space="preserve"> van processtukken was niet langer houdbaar andere of aanvullende wettelijke eisen te stellen aan de </w:t>
      </w:r>
      <w:r>
        <w:rPr>
          <w:bCs/>
          <w:iCs/>
          <w:sz w:val="20"/>
          <w:szCs w:val="20"/>
        </w:rPr>
        <w:t>reproductie</w:t>
      </w:r>
      <w:r w:rsidRPr="00B01F93">
        <w:rPr>
          <w:bCs/>
          <w:iCs/>
          <w:sz w:val="20"/>
          <w:szCs w:val="20"/>
        </w:rPr>
        <w:t xml:space="preserve"> van </w:t>
      </w:r>
      <w:r w:rsidRPr="00B01F93">
        <w:rPr>
          <w:bCs/>
          <w:iCs/>
          <w:sz w:val="20"/>
          <w:szCs w:val="20"/>
        </w:rPr>
        <w:lastRenderedPageBreak/>
        <w:t>het proces-verbaal dan de eisen van volledigheid en juisth</w:t>
      </w:r>
      <w:r>
        <w:rPr>
          <w:bCs/>
          <w:iCs/>
          <w:sz w:val="20"/>
          <w:szCs w:val="20"/>
        </w:rPr>
        <w:t xml:space="preserve">eid zoals deze in artikel 6 Ab </w:t>
      </w:r>
      <w:r w:rsidRPr="00B01F93">
        <w:rPr>
          <w:bCs/>
          <w:iCs/>
          <w:sz w:val="20"/>
          <w:szCs w:val="20"/>
        </w:rPr>
        <w:t>zijn omschreven. De tweede reden is praktisch van aard. Beoog</w:t>
      </w:r>
      <w:r>
        <w:rPr>
          <w:bCs/>
          <w:iCs/>
          <w:sz w:val="20"/>
          <w:szCs w:val="20"/>
        </w:rPr>
        <w:t xml:space="preserve">d is, zoals de </w:t>
      </w:r>
      <w:proofErr w:type="gramStart"/>
      <w:r>
        <w:rPr>
          <w:bCs/>
          <w:iCs/>
          <w:sz w:val="20"/>
          <w:szCs w:val="20"/>
        </w:rPr>
        <w:t xml:space="preserve">Raad </w:t>
      </w:r>
      <w:r w:rsidRPr="00B01F93">
        <w:rPr>
          <w:bCs/>
          <w:iCs/>
          <w:sz w:val="20"/>
          <w:szCs w:val="20"/>
        </w:rPr>
        <w:t xml:space="preserve"> </w:t>
      </w:r>
      <w:proofErr w:type="gramEnd"/>
      <w:r w:rsidRPr="00B01F93">
        <w:rPr>
          <w:bCs/>
          <w:iCs/>
          <w:sz w:val="20"/>
          <w:szCs w:val="20"/>
        </w:rPr>
        <w:t>signaleert</w:t>
      </w:r>
      <w:r>
        <w:rPr>
          <w:bCs/>
          <w:iCs/>
          <w:sz w:val="20"/>
          <w:szCs w:val="20"/>
        </w:rPr>
        <w:t xml:space="preserve"> in zijn advies</w:t>
      </w:r>
      <w:r w:rsidRPr="00B01F93">
        <w:rPr>
          <w:bCs/>
          <w:iCs/>
          <w:sz w:val="20"/>
          <w:szCs w:val="20"/>
        </w:rPr>
        <w:t xml:space="preserve">, het </w:t>
      </w:r>
      <w:proofErr w:type="spellStart"/>
      <w:r w:rsidRPr="00B01F93">
        <w:rPr>
          <w:bCs/>
          <w:iCs/>
          <w:sz w:val="20"/>
          <w:szCs w:val="20"/>
        </w:rPr>
        <w:t>Bepv</w:t>
      </w:r>
      <w:proofErr w:type="spellEnd"/>
      <w:r w:rsidRPr="00B01F93">
        <w:rPr>
          <w:bCs/>
          <w:iCs/>
          <w:sz w:val="20"/>
          <w:szCs w:val="20"/>
        </w:rPr>
        <w:t xml:space="preserve"> bij inwerkingtreding van het conceptwetsvoorstel digitale processtukken in te trekken. Dit zou betekenen dat tot de inwerkingtreding van de wet gewacht zou moeten worden met het door middel van </w:t>
      </w:r>
      <w:r>
        <w:rPr>
          <w:bCs/>
          <w:iCs/>
          <w:sz w:val="20"/>
          <w:szCs w:val="20"/>
        </w:rPr>
        <w:t>reproductie</w:t>
      </w:r>
      <w:r w:rsidRPr="00B01F93">
        <w:rPr>
          <w:bCs/>
          <w:iCs/>
          <w:sz w:val="20"/>
          <w:szCs w:val="20"/>
        </w:rPr>
        <w:t xml:space="preserve"> vervangen van de processen-verbaal. Deze processen-verbaal vormen de kern van het politiedossier dat aan het openbaar ministerie wordt overgedragen. Het besluit maakt het al eerder mogelijk, als tussentijdse maatregel, </w:t>
      </w:r>
      <w:r>
        <w:rPr>
          <w:bCs/>
          <w:iCs/>
          <w:sz w:val="20"/>
          <w:szCs w:val="20"/>
        </w:rPr>
        <w:t>dat het</w:t>
      </w:r>
      <w:r w:rsidRPr="00B01F93">
        <w:rPr>
          <w:bCs/>
          <w:iCs/>
          <w:sz w:val="20"/>
          <w:szCs w:val="20"/>
        </w:rPr>
        <w:t xml:space="preserve"> </w:t>
      </w:r>
      <w:r>
        <w:rPr>
          <w:bCs/>
          <w:iCs/>
          <w:sz w:val="20"/>
          <w:szCs w:val="20"/>
        </w:rPr>
        <w:t xml:space="preserve">gehele </w:t>
      </w:r>
      <w:r w:rsidRPr="00B01F93">
        <w:rPr>
          <w:bCs/>
          <w:iCs/>
          <w:sz w:val="20"/>
          <w:szCs w:val="20"/>
        </w:rPr>
        <w:t xml:space="preserve">politiedossier door middel van </w:t>
      </w:r>
      <w:r>
        <w:rPr>
          <w:bCs/>
          <w:iCs/>
          <w:sz w:val="20"/>
          <w:szCs w:val="20"/>
        </w:rPr>
        <w:t>reproductie</w:t>
      </w:r>
      <w:r w:rsidRPr="00B01F93">
        <w:rPr>
          <w:bCs/>
          <w:iCs/>
          <w:sz w:val="20"/>
          <w:szCs w:val="20"/>
        </w:rPr>
        <w:t xml:space="preserve"> kan worden vervangen. Zoals eerder aangegeven in paragraaf 2 van de toelichting betreft deze met het besluit voorgestelde werkwijze van het elektronisch reproduceren van papieren stukken</w:t>
      </w:r>
      <w:r>
        <w:rPr>
          <w:bCs/>
          <w:iCs/>
          <w:sz w:val="20"/>
          <w:szCs w:val="20"/>
        </w:rPr>
        <w:t>,</w:t>
      </w:r>
      <w:r w:rsidRPr="00B01F93">
        <w:rPr>
          <w:bCs/>
          <w:iCs/>
          <w:sz w:val="20"/>
          <w:szCs w:val="20"/>
        </w:rPr>
        <w:t xml:space="preserve"> een tussenfase. </w:t>
      </w:r>
    </w:p>
    <w:p w:rsidR="00FF589D" w:rsidRDefault="00FF589D" w:rsidP="00FF589D">
      <w:pPr>
        <w:spacing w:line="360" w:lineRule="auto"/>
        <w:outlineLvl w:val="4"/>
        <w:rPr>
          <w:bCs/>
          <w:iCs/>
          <w:sz w:val="20"/>
          <w:szCs w:val="20"/>
        </w:rPr>
      </w:pPr>
    </w:p>
    <w:p w:rsidR="00FF589D" w:rsidRPr="00747575" w:rsidRDefault="00FF589D" w:rsidP="00FF589D">
      <w:pPr>
        <w:spacing w:line="360" w:lineRule="auto"/>
        <w:outlineLvl w:val="4"/>
        <w:rPr>
          <w:b/>
          <w:bCs/>
          <w:i/>
          <w:iCs/>
          <w:sz w:val="20"/>
          <w:szCs w:val="20"/>
        </w:rPr>
      </w:pPr>
      <w:r>
        <w:rPr>
          <w:b/>
          <w:bCs/>
          <w:i/>
          <w:iCs/>
          <w:sz w:val="20"/>
          <w:szCs w:val="20"/>
        </w:rPr>
        <w:t>5</w:t>
      </w:r>
      <w:r w:rsidRPr="00747575">
        <w:rPr>
          <w:b/>
          <w:bCs/>
          <w:i/>
          <w:iCs/>
          <w:sz w:val="20"/>
          <w:szCs w:val="20"/>
        </w:rPr>
        <w:t>. Ontvangen adviezen</w:t>
      </w:r>
    </w:p>
    <w:p w:rsidR="00FF589D" w:rsidRDefault="00FF589D" w:rsidP="00FF589D">
      <w:pPr>
        <w:spacing w:line="360" w:lineRule="auto"/>
        <w:outlineLvl w:val="4"/>
        <w:rPr>
          <w:bCs/>
          <w:iCs/>
          <w:sz w:val="20"/>
          <w:szCs w:val="20"/>
        </w:rPr>
      </w:pPr>
      <w:r w:rsidRPr="00747575">
        <w:rPr>
          <w:bCs/>
          <w:iCs/>
          <w:sz w:val="20"/>
          <w:szCs w:val="20"/>
        </w:rPr>
        <w:t>Het OM heef</w:t>
      </w:r>
      <w:r>
        <w:rPr>
          <w:bCs/>
          <w:iCs/>
          <w:sz w:val="20"/>
          <w:szCs w:val="20"/>
        </w:rPr>
        <w:t>t</w:t>
      </w:r>
      <w:r w:rsidRPr="00747575">
        <w:rPr>
          <w:bCs/>
          <w:iCs/>
          <w:sz w:val="20"/>
          <w:szCs w:val="20"/>
        </w:rPr>
        <w:t xml:space="preserve"> met instemming van het ontwerpbesluit kennisgenomen. </w:t>
      </w:r>
      <w:r>
        <w:rPr>
          <w:bCs/>
          <w:iCs/>
          <w:sz w:val="20"/>
          <w:szCs w:val="20"/>
        </w:rPr>
        <w:t>Het College</w:t>
      </w:r>
      <w:r w:rsidRPr="00747575">
        <w:rPr>
          <w:bCs/>
          <w:iCs/>
          <w:sz w:val="20"/>
          <w:szCs w:val="20"/>
        </w:rPr>
        <w:t xml:space="preserve"> adviseert om scherper het verschil te maken tussen de vervanging van stukken en het maken van een digitaal </w:t>
      </w:r>
      <w:proofErr w:type="gramStart"/>
      <w:r w:rsidRPr="00747575">
        <w:rPr>
          <w:bCs/>
          <w:iCs/>
          <w:sz w:val="20"/>
          <w:szCs w:val="20"/>
        </w:rPr>
        <w:t>afschrift .</w:t>
      </w:r>
      <w:proofErr w:type="gramEnd"/>
      <w:r w:rsidRPr="00747575">
        <w:rPr>
          <w:bCs/>
          <w:iCs/>
          <w:sz w:val="20"/>
          <w:szCs w:val="20"/>
        </w:rPr>
        <w:t xml:space="preserve"> Deze opmerking is overgenomen door zowel bij het voorgestelde artikel 4 als in de toelichting te verduidelijken dat het proces-verbaal waarvan een </w:t>
      </w:r>
      <w:r>
        <w:rPr>
          <w:bCs/>
          <w:iCs/>
          <w:sz w:val="20"/>
          <w:szCs w:val="20"/>
        </w:rPr>
        <w:t>reproductie</w:t>
      </w:r>
      <w:r w:rsidRPr="00747575">
        <w:rPr>
          <w:bCs/>
          <w:iCs/>
          <w:sz w:val="20"/>
          <w:szCs w:val="20"/>
        </w:rPr>
        <w:t xml:space="preserve"> is gemaakt, wordt vernietigd (artikel 4, eerste lid), terwijl bij het maken van een digitaal afschrift (artikel 4, tweede lid) van het proces-verbaal het originele proces-verbaal niet wordt vernietigd. </w:t>
      </w:r>
    </w:p>
    <w:p w:rsidR="00FF589D" w:rsidRPr="00747575" w:rsidRDefault="00FF589D" w:rsidP="00FF589D">
      <w:pPr>
        <w:spacing w:line="360" w:lineRule="auto"/>
        <w:outlineLvl w:val="4"/>
        <w:rPr>
          <w:bCs/>
          <w:iCs/>
          <w:sz w:val="20"/>
          <w:szCs w:val="20"/>
        </w:rPr>
      </w:pPr>
    </w:p>
    <w:p w:rsidR="00FF589D" w:rsidRPr="00747575" w:rsidRDefault="00FF589D" w:rsidP="00FF589D">
      <w:pPr>
        <w:spacing w:line="360" w:lineRule="auto"/>
        <w:outlineLvl w:val="4"/>
        <w:rPr>
          <w:bCs/>
          <w:iCs/>
          <w:sz w:val="20"/>
          <w:szCs w:val="20"/>
        </w:rPr>
      </w:pPr>
      <w:r w:rsidRPr="00747575">
        <w:rPr>
          <w:bCs/>
          <w:iCs/>
          <w:sz w:val="20"/>
          <w:szCs w:val="20"/>
        </w:rPr>
        <w:t xml:space="preserve">Het Platform </w:t>
      </w:r>
      <w:proofErr w:type="spellStart"/>
      <w:r w:rsidRPr="00747575">
        <w:rPr>
          <w:bCs/>
          <w:iCs/>
          <w:sz w:val="20"/>
          <w:szCs w:val="20"/>
        </w:rPr>
        <w:t>BOD-en</w:t>
      </w:r>
      <w:proofErr w:type="spellEnd"/>
      <w:r w:rsidRPr="00747575">
        <w:rPr>
          <w:bCs/>
          <w:iCs/>
          <w:sz w:val="20"/>
          <w:szCs w:val="20"/>
        </w:rPr>
        <w:t xml:space="preserve"> maakt graag gebruik van de gelegenheid om een reactie te geven op het ontwerpbesluit. De door het Platform gedane tekstuele suggesties zijn overgenomen.</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De Nationale Politie ondersteunt de ontwikkeling van papieren naar elektronische strafdossiers. Zij maakt een tweetal opmerkingen welke bij de behandeling van het advies van de </w:t>
      </w:r>
      <w:proofErr w:type="spellStart"/>
      <w:r>
        <w:rPr>
          <w:bCs/>
          <w:iCs/>
          <w:sz w:val="20"/>
          <w:szCs w:val="20"/>
        </w:rPr>
        <w:t>Rvdr</w:t>
      </w:r>
      <w:proofErr w:type="spellEnd"/>
      <w:r>
        <w:rPr>
          <w:bCs/>
          <w:iCs/>
          <w:sz w:val="20"/>
          <w:szCs w:val="20"/>
        </w:rPr>
        <w:t xml:space="preserve"> aan de orde komen.</w:t>
      </w:r>
    </w:p>
    <w:p w:rsidR="00FF589D" w:rsidRPr="00747575" w:rsidRDefault="00FF589D" w:rsidP="00FF589D">
      <w:pPr>
        <w:spacing w:line="360" w:lineRule="auto"/>
        <w:outlineLvl w:val="4"/>
        <w:rPr>
          <w:bCs/>
          <w:iCs/>
          <w:sz w:val="20"/>
          <w:szCs w:val="20"/>
        </w:rPr>
      </w:pPr>
    </w:p>
    <w:p w:rsidR="00FF589D" w:rsidRPr="00747575" w:rsidRDefault="00FF589D" w:rsidP="00FF589D">
      <w:pPr>
        <w:spacing w:line="360" w:lineRule="auto"/>
        <w:outlineLvl w:val="4"/>
        <w:rPr>
          <w:bCs/>
          <w:iCs/>
          <w:sz w:val="20"/>
          <w:szCs w:val="20"/>
        </w:rPr>
      </w:pPr>
      <w:r w:rsidRPr="00747575">
        <w:rPr>
          <w:bCs/>
          <w:iCs/>
          <w:sz w:val="20"/>
          <w:szCs w:val="20"/>
        </w:rPr>
        <w:t xml:space="preserve">De </w:t>
      </w:r>
      <w:proofErr w:type="spellStart"/>
      <w:r w:rsidRPr="00747575">
        <w:rPr>
          <w:bCs/>
          <w:iCs/>
          <w:sz w:val="20"/>
          <w:szCs w:val="20"/>
        </w:rPr>
        <w:t>Rvdr</w:t>
      </w:r>
      <w:proofErr w:type="spellEnd"/>
      <w:r w:rsidRPr="00747575">
        <w:rPr>
          <w:bCs/>
          <w:iCs/>
          <w:sz w:val="20"/>
          <w:szCs w:val="20"/>
        </w:rPr>
        <w:t xml:space="preserve"> heeft kennisgenomen </w:t>
      </w:r>
      <w:r>
        <w:rPr>
          <w:bCs/>
          <w:iCs/>
          <w:sz w:val="20"/>
          <w:szCs w:val="20"/>
        </w:rPr>
        <w:t xml:space="preserve">van het ontwerpbesluit. De Raad bepleit </w:t>
      </w:r>
      <w:r w:rsidRPr="00747575">
        <w:rPr>
          <w:bCs/>
          <w:iCs/>
          <w:sz w:val="20"/>
          <w:szCs w:val="20"/>
        </w:rPr>
        <w:t>nadere regels te stellen aangaande de (digitale) ar</w:t>
      </w:r>
      <w:r>
        <w:rPr>
          <w:bCs/>
          <w:iCs/>
          <w:sz w:val="20"/>
          <w:szCs w:val="20"/>
        </w:rPr>
        <w:t>chivering van processtukken. Hij</w:t>
      </w:r>
      <w:r w:rsidRPr="00747575">
        <w:rPr>
          <w:bCs/>
          <w:iCs/>
          <w:sz w:val="20"/>
          <w:szCs w:val="20"/>
        </w:rPr>
        <w:t xml:space="preserve"> onderschrijft de </w:t>
      </w:r>
      <w:r>
        <w:rPr>
          <w:bCs/>
          <w:iCs/>
          <w:sz w:val="20"/>
          <w:szCs w:val="20"/>
        </w:rPr>
        <w:t>noodzaak om gezamenlijk met zijn</w:t>
      </w:r>
      <w:r w:rsidRPr="00747575">
        <w:rPr>
          <w:bCs/>
          <w:iCs/>
          <w:sz w:val="20"/>
          <w:szCs w:val="20"/>
        </w:rPr>
        <w:t xml:space="preserve"> ketenpartners (het OM en de Nationale Politie) het zorgdragerschap in te richten, omdat ieder zijn verantwoordelijkheid heeft ten aanzien van de diverse (digitale) processtukken. </w:t>
      </w:r>
      <w:r>
        <w:rPr>
          <w:bCs/>
          <w:iCs/>
          <w:sz w:val="20"/>
          <w:szCs w:val="20"/>
        </w:rPr>
        <w:t>In het navolgende worden de inhoudelijke opmerkingen van de Raad behandeld.</w:t>
      </w:r>
      <w:r w:rsidRPr="00747575" w:rsidDel="00BF41C5">
        <w:rPr>
          <w:bCs/>
          <w:iCs/>
          <w:sz w:val="20"/>
          <w:szCs w:val="20"/>
        </w:rPr>
        <w:t xml:space="preserve"> </w:t>
      </w:r>
    </w:p>
    <w:p w:rsidR="00FF589D" w:rsidRDefault="00FF589D" w:rsidP="00FF589D">
      <w:pPr>
        <w:spacing w:line="360" w:lineRule="auto"/>
        <w:outlineLvl w:val="4"/>
        <w:rPr>
          <w:bCs/>
          <w:iCs/>
          <w:sz w:val="20"/>
          <w:szCs w:val="20"/>
        </w:rPr>
      </w:pPr>
    </w:p>
    <w:p w:rsidR="00FF589D" w:rsidRPr="00747575" w:rsidRDefault="00FF589D" w:rsidP="00FF589D">
      <w:pPr>
        <w:spacing w:line="360" w:lineRule="auto"/>
        <w:outlineLvl w:val="4"/>
        <w:rPr>
          <w:bCs/>
          <w:iCs/>
          <w:sz w:val="20"/>
          <w:szCs w:val="20"/>
        </w:rPr>
      </w:pPr>
      <w:r w:rsidRPr="00747575">
        <w:rPr>
          <w:bCs/>
          <w:iCs/>
          <w:sz w:val="20"/>
          <w:szCs w:val="20"/>
        </w:rPr>
        <w:t>De Raad onderschrijft de wenselijkheid van de inzet van digitale voorzieningen ten behoeve van een snellere en slimmere straf</w:t>
      </w:r>
      <w:r>
        <w:rPr>
          <w:bCs/>
          <w:iCs/>
          <w:sz w:val="20"/>
          <w:szCs w:val="20"/>
        </w:rPr>
        <w:t>rechtspleging. Daarbij merkt hij</w:t>
      </w:r>
      <w:r w:rsidRPr="00747575">
        <w:rPr>
          <w:bCs/>
          <w:iCs/>
          <w:sz w:val="20"/>
          <w:szCs w:val="20"/>
        </w:rPr>
        <w:t xml:space="preserve"> op dat de </w:t>
      </w:r>
      <w:r w:rsidRPr="00747575">
        <w:rPr>
          <w:bCs/>
          <w:iCs/>
          <w:sz w:val="20"/>
          <w:szCs w:val="20"/>
        </w:rPr>
        <w:lastRenderedPageBreak/>
        <w:t>strafrechtspraktijk thans vooral behoefte heeft aan een regeling voor het gebruik van elektronische proces</w:t>
      </w:r>
      <w:r>
        <w:rPr>
          <w:bCs/>
          <w:iCs/>
          <w:sz w:val="20"/>
          <w:szCs w:val="20"/>
        </w:rPr>
        <w:t>sen-verbaal</w:t>
      </w:r>
      <w:r w:rsidRPr="00747575">
        <w:rPr>
          <w:bCs/>
          <w:iCs/>
          <w:sz w:val="20"/>
          <w:szCs w:val="20"/>
        </w:rPr>
        <w:t xml:space="preserve"> die zijn </w:t>
      </w:r>
      <w:proofErr w:type="spellStart"/>
      <w:r w:rsidRPr="00747575">
        <w:rPr>
          <w:bCs/>
          <w:iCs/>
          <w:sz w:val="20"/>
          <w:szCs w:val="20"/>
        </w:rPr>
        <w:t>ingescand</w:t>
      </w:r>
      <w:proofErr w:type="spellEnd"/>
      <w:r w:rsidRPr="00747575">
        <w:rPr>
          <w:bCs/>
          <w:iCs/>
          <w:sz w:val="20"/>
          <w:szCs w:val="20"/>
        </w:rPr>
        <w:t xml:space="preserve"> van een papieren origineel. De </w:t>
      </w:r>
      <w:proofErr w:type="spellStart"/>
      <w:r w:rsidRPr="00747575">
        <w:rPr>
          <w:bCs/>
          <w:iCs/>
          <w:sz w:val="20"/>
          <w:szCs w:val="20"/>
        </w:rPr>
        <w:t>Rvdr</w:t>
      </w:r>
      <w:proofErr w:type="spellEnd"/>
      <w:r w:rsidRPr="00747575">
        <w:rPr>
          <w:bCs/>
          <w:iCs/>
          <w:sz w:val="20"/>
          <w:szCs w:val="20"/>
        </w:rPr>
        <w:t xml:space="preserve"> merkt terecht op dat het </w:t>
      </w:r>
      <w:proofErr w:type="spellStart"/>
      <w:r w:rsidRPr="00747575">
        <w:rPr>
          <w:bCs/>
          <w:iCs/>
          <w:sz w:val="20"/>
          <w:szCs w:val="20"/>
        </w:rPr>
        <w:t>Bepv</w:t>
      </w:r>
      <w:proofErr w:type="spellEnd"/>
      <w:r w:rsidRPr="00747575">
        <w:rPr>
          <w:bCs/>
          <w:iCs/>
          <w:sz w:val="20"/>
          <w:szCs w:val="20"/>
        </w:rPr>
        <w:t xml:space="preserve"> enkel ziet op het stellen van regels ten aanzien van het proces-verbaal dat wordt opgemaakt door opsporingsambtenaren. Dit besluit ziet </w:t>
      </w:r>
      <w:proofErr w:type="gramStart"/>
      <w:r w:rsidRPr="00747575">
        <w:rPr>
          <w:bCs/>
          <w:iCs/>
          <w:sz w:val="20"/>
          <w:szCs w:val="20"/>
        </w:rPr>
        <w:t>derhalve</w:t>
      </w:r>
      <w:proofErr w:type="gramEnd"/>
      <w:r w:rsidRPr="00747575">
        <w:rPr>
          <w:bCs/>
          <w:iCs/>
          <w:sz w:val="20"/>
          <w:szCs w:val="20"/>
        </w:rPr>
        <w:t xml:space="preserve"> op het vastleggen van de omzettingsregeling op basis van de </w:t>
      </w:r>
      <w:proofErr w:type="spellStart"/>
      <w:r w:rsidRPr="00747575">
        <w:rPr>
          <w:bCs/>
          <w:iCs/>
          <w:sz w:val="20"/>
          <w:szCs w:val="20"/>
        </w:rPr>
        <w:t>Aw</w:t>
      </w:r>
      <w:proofErr w:type="spellEnd"/>
      <w:r w:rsidRPr="00747575">
        <w:rPr>
          <w:bCs/>
          <w:iCs/>
          <w:sz w:val="20"/>
          <w:szCs w:val="20"/>
        </w:rPr>
        <w:t xml:space="preserve"> en de daarop gebaseerde nadere regelgeving voor het elektronisch reproduceren en vervangen van processen-verbaal voor het digitaal afschrift van het proces-verbaal. Voor wat betreft andere processtukken geldt dat thans op basis van artikel 7 van de </w:t>
      </w:r>
      <w:proofErr w:type="spellStart"/>
      <w:r w:rsidRPr="00747575">
        <w:rPr>
          <w:bCs/>
          <w:iCs/>
          <w:sz w:val="20"/>
          <w:szCs w:val="20"/>
        </w:rPr>
        <w:t>Aw</w:t>
      </w:r>
      <w:proofErr w:type="spellEnd"/>
      <w:r w:rsidRPr="00747575">
        <w:rPr>
          <w:bCs/>
          <w:iCs/>
          <w:sz w:val="20"/>
          <w:szCs w:val="20"/>
        </w:rPr>
        <w:t xml:space="preserve"> deze stukken al zijn aan te merken als archiefbescheiden. Dit betekent dat de zorgdrager (i.c. het OM en de rechtspraak) al bevoegd is om deze te processtukken vervangen door (digitale) </w:t>
      </w:r>
      <w:r>
        <w:rPr>
          <w:bCs/>
          <w:iCs/>
          <w:sz w:val="20"/>
          <w:szCs w:val="20"/>
        </w:rPr>
        <w:t>reproductie</w:t>
      </w:r>
      <w:r w:rsidRPr="00747575">
        <w:rPr>
          <w:bCs/>
          <w:iCs/>
          <w:sz w:val="20"/>
          <w:szCs w:val="20"/>
        </w:rPr>
        <w:t xml:space="preserve">s om vervolgens </w:t>
      </w:r>
      <w:proofErr w:type="gramStart"/>
      <w:r w:rsidRPr="00747575">
        <w:rPr>
          <w:bCs/>
          <w:iCs/>
          <w:sz w:val="20"/>
          <w:szCs w:val="20"/>
        </w:rPr>
        <w:t>de</w:t>
      </w:r>
      <w:proofErr w:type="gramEnd"/>
      <w:r w:rsidRPr="00747575">
        <w:rPr>
          <w:bCs/>
          <w:iCs/>
          <w:sz w:val="20"/>
          <w:szCs w:val="20"/>
        </w:rPr>
        <w:t xml:space="preserve"> vervangen stukken te vernietigen. Hiervoor gelden de regels die bij of </w:t>
      </w:r>
      <w:proofErr w:type="gramStart"/>
      <w:r w:rsidRPr="00747575">
        <w:rPr>
          <w:bCs/>
          <w:iCs/>
          <w:sz w:val="20"/>
          <w:szCs w:val="20"/>
        </w:rPr>
        <w:t>krachtens</w:t>
      </w:r>
      <w:proofErr w:type="gramEnd"/>
      <w:r w:rsidRPr="00747575">
        <w:rPr>
          <w:bCs/>
          <w:iCs/>
          <w:sz w:val="20"/>
          <w:szCs w:val="20"/>
        </w:rPr>
        <w:t xml:space="preserve"> de Archiefwet worden gesteld aan de vervanging door </w:t>
      </w:r>
      <w:r>
        <w:rPr>
          <w:bCs/>
          <w:iCs/>
          <w:sz w:val="20"/>
          <w:szCs w:val="20"/>
        </w:rPr>
        <w:t>reproductie</w:t>
      </w:r>
      <w:r w:rsidRPr="00747575">
        <w:rPr>
          <w:bCs/>
          <w:iCs/>
          <w:sz w:val="20"/>
          <w:szCs w:val="20"/>
        </w:rPr>
        <w:t>. Het besluit regelt dan ook niets voor andere processtukken dan het proces-verbaal of het digitale afschrift daarvan.</w:t>
      </w:r>
    </w:p>
    <w:p w:rsidR="00FF589D" w:rsidRPr="00747575"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Aan het verzoek van de </w:t>
      </w:r>
      <w:proofErr w:type="spellStart"/>
      <w:r>
        <w:rPr>
          <w:bCs/>
          <w:iCs/>
          <w:sz w:val="20"/>
          <w:szCs w:val="20"/>
        </w:rPr>
        <w:t>Rvdr</w:t>
      </w:r>
      <w:proofErr w:type="spellEnd"/>
      <w:r>
        <w:rPr>
          <w:bCs/>
          <w:iCs/>
          <w:sz w:val="20"/>
          <w:szCs w:val="20"/>
        </w:rPr>
        <w:t xml:space="preserve"> </w:t>
      </w:r>
      <w:r w:rsidRPr="00747575">
        <w:rPr>
          <w:bCs/>
          <w:iCs/>
          <w:sz w:val="20"/>
          <w:szCs w:val="20"/>
        </w:rPr>
        <w:t>om in te gaan op de verhouding tussen de v</w:t>
      </w:r>
      <w:r>
        <w:rPr>
          <w:bCs/>
          <w:iCs/>
          <w:sz w:val="20"/>
          <w:szCs w:val="20"/>
        </w:rPr>
        <w:t xml:space="preserve">oorgestelde wijzigingen en het conceptwetsvoorstel digitale processtukken is gehoor gegeven door deze verhouding nader toe te lichten in paragraaf 4 van de toelichting. Voorts is het voorgestelde artikel 4, derde lid, dat handelde over nadere regels met het oog op elektronische verzending geschrapt naar aanleiding van de opmerking van de </w:t>
      </w:r>
      <w:proofErr w:type="spellStart"/>
      <w:r>
        <w:rPr>
          <w:bCs/>
          <w:iCs/>
          <w:sz w:val="20"/>
          <w:szCs w:val="20"/>
        </w:rPr>
        <w:t>Rvdr</w:t>
      </w:r>
      <w:proofErr w:type="spellEnd"/>
      <w:r>
        <w:rPr>
          <w:bCs/>
          <w:iCs/>
          <w:sz w:val="20"/>
          <w:szCs w:val="20"/>
        </w:rPr>
        <w:t>, omdat het conceptwetsvoorstel digitale procestukken al beoogt regels te stellen met betrekking tot de elektronische verzending van processtukken bij een</w:t>
      </w:r>
      <w:r w:rsidRPr="005233B4">
        <w:rPr>
          <w:bCs/>
          <w:iCs/>
          <w:sz w:val="20"/>
          <w:szCs w:val="20"/>
        </w:rPr>
        <w:t xml:space="preserve"> krachtens algemene maatregel van bestuur aangewezen elektronische </w:t>
      </w:r>
      <w:proofErr w:type="gramStart"/>
      <w:r w:rsidRPr="005233B4">
        <w:rPr>
          <w:bCs/>
          <w:iCs/>
          <w:sz w:val="20"/>
          <w:szCs w:val="20"/>
        </w:rPr>
        <w:t xml:space="preserve">voorziening.   </w:t>
      </w:r>
      <w:r>
        <w:rPr>
          <w:bCs/>
          <w:iCs/>
          <w:sz w:val="20"/>
          <w:szCs w:val="20"/>
        </w:rPr>
        <w:t xml:space="preserve"> </w:t>
      </w:r>
      <w:proofErr w:type="gramEnd"/>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Voor de </w:t>
      </w:r>
      <w:proofErr w:type="spellStart"/>
      <w:r>
        <w:rPr>
          <w:bCs/>
          <w:iCs/>
          <w:sz w:val="20"/>
          <w:szCs w:val="20"/>
        </w:rPr>
        <w:t>Rvdr</w:t>
      </w:r>
      <w:proofErr w:type="spellEnd"/>
      <w:r>
        <w:rPr>
          <w:bCs/>
          <w:iCs/>
          <w:sz w:val="20"/>
          <w:szCs w:val="20"/>
        </w:rPr>
        <w:t xml:space="preserve"> is daarnaast niet volledig duidelijk wat nu precies de eisen zijn “die bij of </w:t>
      </w:r>
      <w:proofErr w:type="gramStart"/>
      <w:r>
        <w:rPr>
          <w:bCs/>
          <w:iCs/>
          <w:sz w:val="20"/>
          <w:szCs w:val="20"/>
        </w:rPr>
        <w:t>krachtens</w:t>
      </w:r>
      <w:proofErr w:type="gramEnd"/>
      <w:r>
        <w:rPr>
          <w:bCs/>
          <w:iCs/>
          <w:sz w:val="20"/>
          <w:szCs w:val="20"/>
        </w:rPr>
        <w:t xml:space="preserve"> de Archiefwet worden gesteld”, als bedoeld in het voorgestelde artikel 4 van het besluit en in het verlengde daarvan, wanneer nu sprake is van een correcte omzetting langs elektronische weg van het papieren proces-verbaal in een reproductie (artikel 4, eerste lid) of een digitaal afschrift (artikel 4, tweede lid). Het zou volgens haar goed zijn als de toelichting helderheid verschaft over deze punten. Hieraan is gevolg gegeven door het eerste lid en het tweede lid van artikel 4 aan te scherpen door specifiek aan te geven welke eisen van uit het Ab en de Ar van toepassing zijn voor een omzetting langs elektronische weg van het proces-verbaal resp. een digitaal afschrift van een proces-verbaal. Dit is nader toegelicht in zowel de nota van toelichting (paragraaf 2) als het artikelsgewijze deel (onderdeel C). De vraag van de Raad of</w:t>
      </w:r>
      <w:r w:rsidRPr="00A43F93">
        <w:rPr>
          <w:bCs/>
          <w:iCs/>
          <w:sz w:val="20"/>
          <w:szCs w:val="20"/>
        </w:rPr>
        <w:t xml:space="preserve"> een in het vervangingsbesluit te beschrijven reproductieproces</w:t>
      </w:r>
      <w:r>
        <w:rPr>
          <w:bCs/>
          <w:iCs/>
          <w:sz w:val="20"/>
          <w:szCs w:val="20"/>
        </w:rPr>
        <w:t xml:space="preserve"> </w:t>
      </w:r>
      <w:r w:rsidRPr="00A43F93">
        <w:rPr>
          <w:bCs/>
          <w:iCs/>
          <w:sz w:val="20"/>
          <w:szCs w:val="20"/>
        </w:rPr>
        <w:t>een eis betreft krachtens de Archiefwet</w:t>
      </w:r>
      <w:r>
        <w:rPr>
          <w:bCs/>
          <w:iCs/>
          <w:sz w:val="20"/>
          <w:szCs w:val="20"/>
        </w:rPr>
        <w:t xml:space="preserve"> geldt, moet bevestigend worden beantwoord voor wat betreft de omzetting </w:t>
      </w:r>
      <w:r>
        <w:rPr>
          <w:bCs/>
          <w:iCs/>
          <w:sz w:val="20"/>
          <w:szCs w:val="20"/>
        </w:rPr>
        <w:lastRenderedPageBreak/>
        <w:t xml:space="preserve">van een proces-verbaal en ontkennend wanneer het een digitaal afschrift betreft, </w:t>
      </w:r>
      <w:proofErr w:type="gramStart"/>
      <w:r>
        <w:rPr>
          <w:bCs/>
          <w:iCs/>
          <w:sz w:val="20"/>
          <w:szCs w:val="20"/>
        </w:rPr>
        <w:t>hetgeen</w:t>
      </w:r>
      <w:proofErr w:type="gramEnd"/>
      <w:r>
        <w:rPr>
          <w:bCs/>
          <w:iCs/>
          <w:sz w:val="20"/>
          <w:szCs w:val="20"/>
        </w:rPr>
        <w:t xml:space="preserve"> eveneens in aan de orde komt in de artikelsgewijze toelichting bij onderdeel C.</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Naar aanleiding van de opmerking van de </w:t>
      </w:r>
      <w:proofErr w:type="spellStart"/>
      <w:r>
        <w:rPr>
          <w:bCs/>
          <w:iCs/>
          <w:sz w:val="20"/>
          <w:szCs w:val="20"/>
        </w:rPr>
        <w:t>Rvdr</w:t>
      </w:r>
      <w:proofErr w:type="spellEnd"/>
      <w:r>
        <w:rPr>
          <w:bCs/>
          <w:iCs/>
          <w:sz w:val="20"/>
          <w:szCs w:val="20"/>
        </w:rPr>
        <w:t xml:space="preserve"> en de Nationale Politie over het vereiste van een gekwalificeerde elektronische handtekening bij een elektronisch proces-verbaal, dus ook een gescand proces-verbaal, wordt hier verduidelijkt dat met het besluit niet is bedoeld om de eis van een gekwalificeerde elektronische handtekening volledig te laten vervallen. Zoals eerder opgemerkt (paragraaf 1) strekt het besluit tot wijziging van de regeling van het langs elektronische weg omzetten van een proces-verbaal, aangezien de </w:t>
      </w:r>
      <w:proofErr w:type="spellStart"/>
      <w:r>
        <w:rPr>
          <w:bCs/>
          <w:iCs/>
          <w:sz w:val="20"/>
          <w:szCs w:val="20"/>
        </w:rPr>
        <w:t>Aw</w:t>
      </w:r>
      <w:proofErr w:type="spellEnd"/>
      <w:r>
        <w:rPr>
          <w:bCs/>
          <w:iCs/>
          <w:sz w:val="20"/>
          <w:szCs w:val="20"/>
        </w:rPr>
        <w:t xml:space="preserve"> en daarop gebaseerde nadere regelgeving het mogelijk maken de papieren processen-verbaal te vervangen door elektronische reproducties. Door een juiste en volledige vervanging kan voor het papieren origineel een elektronische origineel in de plaats komen en de papieren versie (niet bij een digitaal afschrift) worden vernietigd. Deze werkwijze van het elektronisch reproduceren van papieren stukken betreft een tussenfase.</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Gelet op het voorgaande blijft artikel 2, eerste lid, </w:t>
      </w:r>
      <w:proofErr w:type="spellStart"/>
      <w:r>
        <w:rPr>
          <w:bCs/>
          <w:iCs/>
          <w:sz w:val="20"/>
          <w:szCs w:val="20"/>
        </w:rPr>
        <w:t>Bepv</w:t>
      </w:r>
      <w:proofErr w:type="spellEnd"/>
      <w:r>
        <w:rPr>
          <w:bCs/>
          <w:iCs/>
          <w:sz w:val="20"/>
          <w:szCs w:val="20"/>
        </w:rPr>
        <w:t>, dus onverkort gelden voor een elektronisch proces-verbaal. Na inwerkingtreding van het besluit blijft voor een elektronisch proces-verbaal de eis van een (gekwalificeerde) elektronische handtekening dus van toepassing. Dit kan pas anders zijn wanneer het conceptwetsvoorstel elektronische processtukken tot wet wordt verheven, omdat hierin</w:t>
      </w:r>
      <w:r w:rsidRPr="003D0A42">
        <w:rPr>
          <w:bCs/>
          <w:iCs/>
          <w:sz w:val="20"/>
          <w:szCs w:val="20"/>
        </w:rPr>
        <w:t xml:space="preserve"> een techniekonafhankelijke regeling met betrekking tot de elektronische handtekening</w:t>
      </w:r>
      <w:r>
        <w:rPr>
          <w:bCs/>
          <w:iCs/>
          <w:sz w:val="20"/>
          <w:szCs w:val="20"/>
        </w:rPr>
        <w:t xml:space="preserve"> wordt voorgesteld welke zal gelden voor alle documenten, dus ook voor het proces-verbaal van de opsporingsambtenaar. Voor wat betreft het omzetten van een papieren proces-verbaal in een digitaal </w:t>
      </w:r>
      <w:proofErr w:type="gramStart"/>
      <w:r>
        <w:rPr>
          <w:bCs/>
          <w:iCs/>
          <w:sz w:val="20"/>
          <w:szCs w:val="20"/>
        </w:rPr>
        <w:t>afschrift ,</w:t>
      </w:r>
      <w:proofErr w:type="gramEnd"/>
      <w:r>
        <w:rPr>
          <w:bCs/>
          <w:iCs/>
          <w:sz w:val="20"/>
          <w:szCs w:val="20"/>
        </w:rPr>
        <w:t xml:space="preserve"> door middel van het scannen van het proces-verbaal, geldt op basis van het voorgestelde artikel 4, tweede lid, </w:t>
      </w:r>
      <w:proofErr w:type="spellStart"/>
      <w:r>
        <w:rPr>
          <w:bCs/>
          <w:iCs/>
          <w:sz w:val="20"/>
          <w:szCs w:val="20"/>
        </w:rPr>
        <w:t>Bepv</w:t>
      </w:r>
      <w:proofErr w:type="spellEnd"/>
      <w:r>
        <w:rPr>
          <w:bCs/>
          <w:iCs/>
          <w:sz w:val="20"/>
          <w:szCs w:val="20"/>
        </w:rPr>
        <w:t xml:space="preserve">, dat de omzetting op basis van artikel 6 Ab een juiste en zorgvuldige weergave behoort te zijn. Een gekwalificeerde elektronische handtekening als waarmerk voor het digitale afschrift van het proces-verbaal is </w:t>
      </w:r>
      <w:proofErr w:type="gramStart"/>
      <w:r>
        <w:rPr>
          <w:bCs/>
          <w:iCs/>
          <w:sz w:val="20"/>
          <w:szCs w:val="20"/>
        </w:rPr>
        <w:t>derhalve</w:t>
      </w:r>
      <w:proofErr w:type="gramEnd"/>
      <w:r>
        <w:rPr>
          <w:bCs/>
          <w:iCs/>
          <w:sz w:val="20"/>
          <w:szCs w:val="20"/>
        </w:rPr>
        <w:t xml:space="preserve"> geen vereiste meer. Daarom wordt voorgesteld artikel 2, tweede lid, </w:t>
      </w:r>
      <w:proofErr w:type="spellStart"/>
      <w:r>
        <w:rPr>
          <w:bCs/>
          <w:iCs/>
          <w:sz w:val="20"/>
          <w:szCs w:val="20"/>
        </w:rPr>
        <w:t>Bepv</w:t>
      </w:r>
      <w:proofErr w:type="spellEnd"/>
      <w:r>
        <w:rPr>
          <w:bCs/>
          <w:iCs/>
          <w:sz w:val="20"/>
          <w:szCs w:val="20"/>
        </w:rPr>
        <w:t xml:space="preserve">, te laten vervallen. Belangrijk is uiteraard wel op te merken dat het originele papieren proces-verbaal na de totstandkoming van een digitaal afschrift door het scannen daarvan niet mag worden vernietigd op basis van het voorgestelde artikel 4, tweede lid, </w:t>
      </w:r>
      <w:proofErr w:type="spellStart"/>
      <w:r>
        <w:rPr>
          <w:bCs/>
          <w:iCs/>
          <w:sz w:val="20"/>
          <w:szCs w:val="20"/>
        </w:rPr>
        <w:t>Bepv</w:t>
      </w:r>
      <w:proofErr w:type="spellEnd"/>
      <w:r>
        <w:rPr>
          <w:bCs/>
          <w:iCs/>
          <w:sz w:val="20"/>
          <w:szCs w:val="20"/>
        </w:rPr>
        <w:t xml:space="preserve">. </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De constatering van de Raad dat het plaatsen van een gekwalificeerde elektronische handtekening op een elektronisch proces-verbaal op basis van de wetsgeschiedenis (Stb. 2011, nr. 15) dient te geschieden door de opsporingsambtenaar, is inderdaad juist. Daarnaast kunnen ook meerdere opsporingsambtenaren een elektronisch proces-verbaal </w:t>
      </w:r>
      <w:r>
        <w:rPr>
          <w:bCs/>
          <w:iCs/>
          <w:sz w:val="20"/>
          <w:szCs w:val="20"/>
        </w:rPr>
        <w:lastRenderedPageBreak/>
        <w:t xml:space="preserve">ondertekenen, indien zij – ieder voor zich – in staat zijn om een elektronische handtekening te plaatsen, </w:t>
      </w:r>
      <w:proofErr w:type="gramStart"/>
      <w:r>
        <w:rPr>
          <w:bCs/>
          <w:iCs/>
          <w:sz w:val="20"/>
          <w:szCs w:val="20"/>
        </w:rPr>
        <w:t>overeenkomstig</w:t>
      </w:r>
      <w:proofErr w:type="gramEnd"/>
      <w:r>
        <w:rPr>
          <w:bCs/>
          <w:iCs/>
          <w:sz w:val="20"/>
          <w:szCs w:val="20"/>
        </w:rPr>
        <w:t xml:space="preserve"> de eisen van het </w:t>
      </w:r>
      <w:proofErr w:type="spellStart"/>
      <w:r>
        <w:rPr>
          <w:bCs/>
          <w:iCs/>
          <w:sz w:val="20"/>
          <w:szCs w:val="20"/>
        </w:rPr>
        <w:t>Bepv</w:t>
      </w:r>
      <w:proofErr w:type="spellEnd"/>
      <w:r>
        <w:rPr>
          <w:bCs/>
          <w:iCs/>
          <w:sz w:val="20"/>
          <w:szCs w:val="20"/>
        </w:rPr>
        <w:t>.</w:t>
      </w:r>
    </w:p>
    <w:p w:rsidR="00FF589D" w:rsidRDefault="00FF589D" w:rsidP="00FF589D">
      <w:pPr>
        <w:spacing w:line="360" w:lineRule="auto"/>
        <w:outlineLvl w:val="4"/>
        <w:rPr>
          <w:bCs/>
          <w:iCs/>
          <w:sz w:val="20"/>
          <w:szCs w:val="20"/>
        </w:rPr>
      </w:pPr>
    </w:p>
    <w:p w:rsidR="00FF589D" w:rsidRDefault="00FF589D" w:rsidP="00FF589D">
      <w:pPr>
        <w:spacing w:line="360" w:lineRule="auto"/>
        <w:outlineLvl w:val="4"/>
        <w:rPr>
          <w:bCs/>
          <w:iCs/>
          <w:sz w:val="20"/>
          <w:szCs w:val="20"/>
        </w:rPr>
      </w:pPr>
      <w:r>
        <w:rPr>
          <w:bCs/>
          <w:iCs/>
          <w:sz w:val="20"/>
          <w:szCs w:val="20"/>
        </w:rPr>
        <w:t xml:space="preserve">Voorts betrof het – aanvankelijk in de consultatieversie voorgestelde </w:t>
      </w:r>
      <w:r w:rsidRPr="00B60F89">
        <w:rPr>
          <w:bCs/>
          <w:iCs/>
          <w:sz w:val="20"/>
          <w:szCs w:val="20"/>
        </w:rPr>
        <w:t>–</w:t>
      </w:r>
      <w:r w:rsidRPr="00747575">
        <w:rPr>
          <w:bCs/>
          <w:iCs/>
          <w:sz w:val="20"/>
          <w:szCs w:val="20"/>
        </w:rPr>
        <w:t xml:space="preserve"> schrappen van de definitie van digitaal afschrift in artikel 1, eerste lid, onderdeel a, </w:t>
      </w:r>
      <w:proofErr w:type="spellStart"/>
      <w:r w:rsidRPr="00747575">
        <w:rPr>
          <w:bCs/>
          <w:iCs/>
          <w:sz w:val="20"/>
          <w:szCs w:val="20"/>
        </w:rPr>
        <w:t>Bepv</w:t>
      </w:r>
      <w:proofErr w:type="spellEnd"/>
      <w:r>
        <w:rPr>
          <w:bCs/>
          <w:iCs/>
          <w:sz w:val="20"/>
          <w:szCs w:val="20"/>
        </w:rPr>
        <w:t>, een omissie. Dit onderdeel blijft</w:t>
      </w:r>
      <w:r w:rsidRPr="00747575">
        <w:rPr>
          <w:bCs/>
          <w:iCs/>
          <w:sz w:val="20"/>
          <w:szCs w:val="20"/>
        </w:rPr>
        <w:t xml:space="preserve"> naar aanleiding van de </w:t>
      </w:r>
      <w:proofErr w:type="gramStart"/>
      <w:r w:rsidRPr="00747575">
        <w:rPr>
          <w:bCs/>
          <w:iCs/>
          <w:sz w:val="20"/>
          <w:szCs w:val="20"/>
        </w:rPr>
        <w:t>opmerking</w:t>
      </w:r>
      <w:r>
        <w:rPr>
          <w:bCs/>
          <w:iCs/>
          <w:sz w:val="20"/>
          <w:szCs w:val="20"/>
        </w:rPr>
        <w:t xml:space="preserve">en </w:t>
      </w:r>
      <w:r w:rsidRPr="00747575">
        <w:rPr>
          <w:bCs/>
          <w:iCs/>
          <w:sz w:val="20"/>
          <w:szCs w:val="20"/>
        </w:rPr>
        <w:t xml:space="preserve"> </w:t>
      </w:r>
      <w:proofErr w:type="gramEnd"/>
      <w:r w:rsidRPr="00747575">
        <w:rPr>
          <w:bCs/>
          <w:iCs/>
          <w:sz w:val="20"/>
          <w:szCs w:val="20"/>
        </w:rPr>
        <w:t xml:space="preserve">van de </w:t>
      </w:r>
      <w:proofErr w:type="spellStart"/>
      <w:r w:rsidRPr="00747575">
        <w:rPr>
          <w:bCs/>
          <w:iCs/>
          <w:sz w:val="20"/>
          <w:szCs w:val="20"/>
        </w:rPr>
        <w:t>R</w:t>
      </w:r>
      <w:r>
        <w:rPr>
          <w:bCs/>
          <w:iCs/>
          <w:sz w:val="20"/>
          <w:szCs w:val="20"/>
        </w:rPr>
        <w:t>vdr</w:t>
      </w:r>
      <w:proofErr w:type="spellEnd"/>
      <w:r>
        <w:rPr>
          <w:bCs/>
          <w:iCs/>
          <w:sz w:val="20"/>
          <w:szCs w:val="20"/>
        </w:rPr>
        <w:t xml:space="preserve"> en de Nationale Politie</w:t>
      </w:r>
      <w:r w:rsidRPr="00747575">
        <w:rPr>
          <w:bCs/>
          <w:iCs/>
          <w:sz w:val="20"/>
          <w:szCs w:val="20"/>
        </w:rPr>
        <w:t xml:space="preserve"> gehandhaafd.</w:t>
      </w:r>
      <w:r>
        <w:rPr>
          <w:bCs/>
          <w:iCs/>
          <w:sz w:val="20"/>
          <w:szCs w:val="20"/>
        </w:rPr>
        <w:t xml:space="preserve"> Ten slotte zijn de redactionele opmerkingen van de Raad overgenomen.</w:t>
      </w:r>
    </w:p>
    <w:p w:rsidR="00FF589D" w:rsidRPr="00D94204" w:rsidRDefault="00FF589D" w:rsidP="00FF589D">
      <w:pPr>
        <w:spacing w:line="360" w:lineRule="auto"/>
        <w:outlineLvl w:val="4"/>
        <w:rPr>
          <w:bCs/>
          <w:iCs/>
          <w:sz w:val="20"/>
          <w:szCs w:val="20"/>
        </w:rPr>
      </w:pPr>
    </w:p>
    <w:p w:rsidR="00FF589D" w:rsidRPr="00D94204" w:rsidRDefault="00FF589D" w:rsidP="00FF589D">
      <w:pPr>
        <w:spacing w:line="360" w:lineRule="auto"/>
        <w:outlineLvl w:val="4"/>
        <w:rPr>
          <w:b/>
          <w:bCs/>
          <w:i/>
          <w:iCs/>
          <w:sz w:val="20"/>
          <w:szCs w:val="20"/>
        </w:rPr>
      </w:pPr>
      <w:r>
        <w:rPr>
          <w:b/>
          <w:bCs/>
          <w:i/>
          <w:iCs/>
          <w:sz w:val="20"/>
          <w:szCs w:val="20"/>
        </w:rPr>
        <w:t>6</w:t>
      </w:r>
      <w:r w:rsidRPr="00D94204">
        <w:rPr>
          <w:b/>
          <w:bCs/>
          <w:i/>
          <w:iCs/>
          <w:sz w:val="20"/>
          <w:szCs w:val="20"/>
        </w:rPr>
        <w:t>. Financiële paragraaf</w:t>
      </w:r>
    </w:p>
    <w:p w:rsidR="00FF589D" w:rsidRDefault="00FF589D" w:rsidP="00FF589D">
      <w:pPr>
        <w:spacing w:line="360" w:lineRule="auto"/>
        <w:outlineLvl w:val="4"/>
        <w:rPr>
          <w:bCs/>
          <w:iCs/>
          <w:sz w:val="20"/>
          <w:szCs w:val="20"/>
        </w:rPr>
      </w:pPr>
      <w:r>
        <w:rPr>
          <w:bCs/>
          <w:iCs/>
          <w:sz w:val="20"/>
          <w:szCs w:val="20"/>
        </w:rPr>
        <w:t>Het besluit</w:t>
      </w:r>
      <w:r w:rsidRPr="00277927">
        <w:rPr>
          <w:bCs/>
          <w:iCs/>
          <w:sz w:val="20"/>
          <w:szCs w:val="20"/>
        </w:rPr>
        <w:t xml:space="preserve"> maakt</w:t>
      </w:r>
      <w:r>
        <w:rPr>
          <w:bCs/>
          <w:iCs/>
          <w:sz w:val="20"/>
          <w:szCs w:val="20"/>
        </w:rPr>
        <w:t xml:space="preserve"> mogelijk,</w:t>
      </w:r>
      <w:r w:rsidRPr="00277927">
        <w:rPr>
          <w:bCs/>
          <w:iCs/>
          <w:sz w:val="20"/>
          <w:szCs w:val="20"/>
        </w:rPr>
        <w:t xml:space="preserve"> aanvullend op de bestaande regeling van het elektronisch afschrift</w:t>
      </w:r>
      <w:r>
        <w:rPr>
          <w:bCs/>
          <w:iCs/>
          <w:sz w:val="20"/>
          <w:szCs w:val="20"/>
        </w:rPr>
        <w:t>,</w:t>
      </w:r>
      <w:r w:rsidRPr="00277927">
        <w:rPr>
          <w:bCs/>
          <w:iCs/>
          <w:sz w:val="20"/>
          <w:szCs w:val="20"/>
        </w:rPr>
        <w:t xml:space="preserve"> elektronische processen-verbaal te vervangen door middel van </w:t>
      </w:r>
      <w:r>
        <w:rPr>
          <w:bCs/>
          <w:iCs/>
          <w:sz w:val="20"/>
          <w:szCs w:val="20"/>
        </w:rPr>
        <w:t>reproductie</w:t>
      </w:r>
      <w:r w:rsidRPr="00277927">
        <w:rPr>
          <w:bCs/>
          <w:iCs/>
          <w:sz w:val="20"/>
          <w:szCs w:val="20"/>
        </w:rPr>
        <w:t>s en de processen</w:t>
      </w:r>
      <w:r>
        <w:rPr>
          <w:bCs/>
          <w:iCs/>
          <w:sz w:val="20"/>
          <w:szCs w:val="20"/>
        </w:rPr>
        <w:t>-</w:t>
      </w:r>
      <w:r w:rsidRPr="00277927">
        <w:rPr>
          <w:bCs/>
          <w:iCs/>
          <w:sz w:val="20"/>
          <w:szCs w:val="20"/>
        </w:rPr>
        <w:t xml:space="preserve">verbaal waarvan een </w:t>
      </w:r>
      <w:r>
        <w:rPr>
          <w:bCs/>
          <w:iCs/>
          <w:sz w:val="20"/>
          <w:szCs w:val="20"/>
        </w:rPr>
        <w:t>reproductie</w:t>
      </w:r>
      <w:r w:rsidRPr="00277927">
        <w:rPr>
          <w:bCs/>
          <w:iCs/>
          <w:sz w:val="20"/>
          <w:szCs w:val="20"/>
        </w:rPr>
        <w:t xml:space="preserve"> is gemaakt te vernietigen.</w:t>
      </w:r>
      <w:r>
        <w:t xml:space="preserve"> </w:t>
      </w:r>
      <w:r w:rsidRPr="003D13D0">
        <w:rPr>
          <w:bCs/>
          <w:iCs/>
          <w:sz w:val="20"/>
          <w:szCs w:val="20"/>
        </w:rPr>
        <w:t>Hiermee kan de huidige praktijk van een tweevoudig logistiek proces en een dubbele archivering (van papieren en dig</w:t>
      </w:r>
      <w:r>
        <w:rPr>
          <w:bCs/>
          <w:iCs/>
          <w:sz w:val="20"/>
          <w:szCs w:val="20"/>
        </w:rPr>
        <w:t xml:space="preserve">itale stukken) worden voorkomen, </w:t>
      </w:r>
      <w:proofErr w:type="gramStart"/>
      <w:r>
        <w:rPr>
          <w:bCs/>
          <w:iCs/>
          <w:sz w:val="20"/>
          <w:szCs w:val="20"/>
        </w:rPr>
        <w:t>hetgeen</w:t>
      </w:r>
      <w:proofErr w:type="gramEnd"/>
      <w:r>
        <w:rPr>
          <w:bCs/>
          <w:iCs/>
          <w:sz w:val="20"/>
          <w:szCs w:val="20"/>
        </w:rPr>
        <w:t xml:space="preserve"> vermijdbare kosten kan opleveren. De ervaringen die worden opgedaan met de proeftuinen van het Programma Digitaal Werken Strafrechtsketen waarbij het OM, de Nationale Politie en de </w:t>
      </w:r>
      <w:proofErr w:type="gramStart"/>
      <w:r>
        <w:rPr>
          <w:bCs/>
          <w:iCs/>
          <w:sz w:val="20"/>
          <w:szCs w:val="20"/>
        </w:rPr>
        <w:t xml:space="preserve">rechtspraak  </w:t>
      </w:r>
      <w:proofErr w:type="gramEnd"/>
      <w:r>
        <w:rPr>
          <w:bCs/>
          <w:iCs/>
          <w:sz w:val="20"/>
          <w:szCs w:val="20"/>
        </w:rPr>
        <w:t>de met het besluit gefaciliteerde werkwijze hanteren, zullen moeten uitwijzen hoeveel besparingen deze werkwijze op de archiveringskosten kan opleveren en zodoende een bijdrage kan worden geleverd aan de efficiencytaakstelling in de strafrechtsketen.</w:t>
      </w:r>
    </w:p>
    <w:p w:rsidR="00FF589D" w:rsidRDefault="00FF589D" w:rsidP="00FF589D">
      <w:pPr>
        <w:rPr>
          <w:sz w:val="20"/>
          <w:szCs w:val="20"/>
        </w:rPr>
      </w:pPr>
    </w:p>
    <w:p w:rsidR="00FF589D" w:rsidRDefault="00FF589D" w:rsidP="00FF589D">
      <w:pPr>
        <w:rPr>
          <w:sz w:val="20"/>
          <w:szCs w:val="20"/>
        </w:rPr>
      </w:pPr>
    </w:p>
    <w:p w:rsidR="00FF589D" w:rsidRPr="0022047E" w:rsidRDefault="00FF589D" w:rsidP="00FF589D">
      <w:pPr>
        <w:rPr>
          <w:sz w:val="20"/>
          <w:szCs w:val="20"/>
        </w:rPr>
      </w:pPr>
      <w:r w:rsidRPr="008127C3">
        <w:rPr>
          <w:b/>
          <w:sz w:val="20"/>
          <w:szCs w:val="20"/>
        </w:rPr>
        <w:t>ARTIKELSGEWIJZE TOELICHTING</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b/>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b/>
          <w:sz w:val="20"/>
          <w:szCs w:val="20"/>
          <w:lang w:eastAsia="en-US"/>
        </w:rPr>
      </w:pPr>
      <w:r w:rsidRPr="008127C3">
        <w:rPr>
          <w:rFonts w:ascii="Verdana" w:eastAsiaTheme="minorHAnsi" w:hAnsi="Verdana" w:cstheme="minorBidi"/>
          <w:b/>
          <w:sz w:val="20"/>
          <w:szCs w:val="20"/>
          <w:lang w:eastAsia="en-US"/>
        </w:rPr>
        <w:t>Artikel I</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A en B</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Pr>
          <w:rFonts w:ascii="Verdana" w:eastAsiaTheme="minorHAnsi" w:hAnsi="Verdana" w:cstheme="minorBidi"/>
          <w:sz w:val="20"/>
          <w:szCs w:val="20"/>
          <w:lang w:eastAsia="en-US"/>
        </w:rPr>
        <w:t>In het tweede lid is een definitie toegevoegd van omzetting langs elektronische weg</w:t>
      </w:r>
      <w:r w:rsidRPr="008127C3">
        <w:rPr>
          <w:rFonts w:ascii="Verdana" w:eastAsiaTheme="minorHAnsi" w:hAnsi="Verdana" w:cstheme="minorBidi"/>
          <w:sz w:val="20"/>
          <w:szCs w:val="20"/>
          <w:lang w:eastAsia="en-US"/>
        </w:rPr>
        <w:t xml:space="preserve">. </w:t>
      </w:r>
      <w:proofErr w:type="gramStart"/>
      <w:r w:rsidRPr="008127C3">
        <w:rPr>
          <w:rFonts w:ascii="Verdana" w:eastAsiaTheme="minorHAnsi" w:hAnsi="Verdana" w:cstheme="minorBidi"/>
          <w:sz w:val="20"/>
          <w:szCs w:val="20"/>
          <w:lang w:eastAsia="en-US"/>
        </w:rPr>
        <w:t xml:space="preserve">Daarbij is aangegeven dat onder omzetting langs elektronische weg wordt verstaan het vervangen door een elektronische </w:t>
      </w:r>
      <w:r>
        <w:rPr>
          <w:rFonts w:ascii="Verdana" w:eastAsiaTheme="minorHAnsi" w:hAnsi="Verdana" w:cstheme="minorBidi"/>
          <w:sz w:val="20"/>
          <w:szCs w:val="20"/>
          <w:lang w:eastAsia="en-US"/>
        </w:rPr>
        <w:t>reproductie</w:t>
      </w:r>
      <w:r w:rsidRPr="008127C3">
        <w:rPr>
          <w:rFonts w:ascii="Verdana" w:eastAsiaTheme="minorHAnsi" w:hAnsi="Verdana" w:cstheme="minorBidi"/>
          <w:sz w:val="20"/>
          <w:szCs w:val="20"/>
          <w:lang w:eastAsia="en-US"/>
        </w:rPr>
        <w:t xml:space="preserve">, teneinde de aldus vervangen bescheiden te vernietigen. </w:t>
      </w:r>
      <w:proofErr w:type="gramEnd"/>
      <w:r w:rsidRPr="008127C3">
        <w:rPr>
          <w:rFonts w:ascii="Verdana" w:eastAsiaTheme="minorHAnsi" w:hAnsi="Verdana" w:cstheme="minorBidi"/>
          <w:sz w:val="20"/>
          <w:szCs w:val="20"/>
          <w:lang w:eastAsia="en-US"/>
        </w:rPr>
        <w:t xml:space="preserve">Aangesloten wordt dus bij artikel 7 van de </w:t>
      </w:r>
      <w:proofErr w:type="spellStart"/>
      <w:r w:rsidRPr="008127C3">
        <w:rPr>
          <w:rFonts w:ascii="Verdana" w:eastAsiaTheme="minorHAnsi" w:hAnsi="Verdana" w:cstheme="minorBidi"/>
          <w:sz w:val="20"/>
          <w:szCs w:val="20"/>
          <w:lang w:eastAsia="en-US"/>
        </w:rPr>
        <w:t>Aw</w:t>
      </w:r>
      <w:proofErr w:type="spellEnd"/>
      <w:r w:rsidRPr="008127C3">
        <w:rPr>
          <w:rFonts w:ascii="Verdana" w:eastAsiaTheme="minorHAnsi" w:hAnsi="Verdana" w:cstheme="minorBidi"/>
          <w:sz w:val="20"/>
          <w:szCs w:val="20"/>
          <w:lang w:eastAsia="en-US"/>
        </w:rPr>
        <w:t xml:space="preserve">. Artikel 2, tweede lid, van het </w:t>
      </w:r>
      <w:proofErr w:type="spellStart"/>
      <w:r>
        <w:rPr>
          <w:rFonts w:ascii="Verdana" w:eastAsiaTheme="minorHAnsi" w:hAnsi="Verdana" w:cstheme="minorBidi"/>
          <w:sz w:val="20"/>
          <w:szCs w:val="20"/>
          <w:lang w:eastAsia="en-US"/>
        </w:rPr>
        <w:t>Bepv</w:t>
      </w:r>
      <w:proofErr w:type="spellEnd"/>
      <w:r w:rsidRPr="008127C3">
        <w:rPr>
          <w:rFonts w:ascii="Verdana" w:eastAsiaTheme="minorHAnsi" w:hAnsi="Verdana" w:cstheme="minorBidi"/>
          <w:sz w:val="20"/>
          <w:szCs w:val="20"/>
          <w:lang w:eastAsia="en-US"/>
        </w:rPr>
        <w:t xml:space="preserve"> dat handelt over het digitale afschrift kan daarmee ook vervallen. </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C</w:t>
      </w: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Het nieuwe artikel 4 vormt de kern van de nieuwe omzettingsregeling</w:t>
      </w:r>
      <w:r>
        <w:rPr>
          <w:rFonts w:ascii="Verdana" w:eastAsiaTheme="minorHAnsi" w:hAnsi="Verdana" w:cstheme="minorBidi"/>
          <w:sz w:val="20"/>
          <w:szCs w:val="20"/>
          <w:lang w:eastAsia="en-US"/>
        </w:rPr>
        <w:t xml:space="preserve">. </w:t>
      </w:r>
      <w:r w:rsidRPr="00747575">
        <w:rPr>
          <w:rFonts w:ascii="Verdana" w:hAnsi="Verdana"/>
          <w:bCs/>
          <w:iCs/>
          <w:sz w:val="20"/>
          <w:szCs w:val="20"/>
        </w:rPr>
        <w:t xml:space="preserve">De </w:t>
      </w:r>
      <w:proofErr w:type="spellStart"/>
      <w:r w:rsidRPr="00747575">
        <w:rPr>
          <w:rFonts w:ascii="Verdana" w:hAnsi="Verdana"/>
          <w:bCs/>
          <w:iCs/>
          <w:sz w:val="20"/>
          <w:szCs w:val="20"/>
        </w:rPr>
        <w:t>Aw</w:t>
      </w:r>
      <w:proofErr w:type="spellEnd"/>
      <w:r w:rsidRPr="00747575">
        <w:rPr>
          <w:rFonts w:ascii="Verdana" w:hAnsi="Verdana"/>
          <w:bCs/>
          <w:iCs/>
          <w:sz w:val="20"/>
          <w:szCs w:val="20"/>
        </w:rPr>
        <w:t xml:space="preserve"> en daarop gebaseerde nadere regelgeving maken het mogelijk de papieren documenten te vervangen door elektronische stukken. Indien voldaan wordt aan de eisen van vervanging kan voor het papieren origineel een elektronisch origineel in de plaats komen en wordt </w:t>
      </w:r>
      <w:r>
        <w:rPr>
          <w:rFonts w:ascii="Verdana" w:hAnsi="Verdana"/>
          <w:bCs/>
          <w:iCs/>
          <w:sz w:val="20"/>
          <w:szCs w:val="20"/>
        </w:rPr>
        <w:t xml:space="preserve">de papieren </w:t>
      </w:r>
      <w:proofErr w:type="gramStart"/>
      <w:r>
        <w:rPr>
          <w:rFonts w:ascii="Verdana" w:hAnsi="Verdana"/>
          <w:bCs/>
          <w:iCs/>
          <w:sz w:val="20"/>
          <w:szCs w:val="20"/>
        </w:rPr>
        <w:t xml:space="preserve">versie  </w:t>
      </w:r>
      <w:proofErr w:type="gramEnd"/>
      <w:r>
        <w:rPr>
          <w:rFonts w:ascii="Verdana" w:hAnsi="Verdana"/>
          <w:bCs/>
          <w:iCs/>
          <w:sz w:val="20"/>
          <w:szCs w:val="20"/>
        </w:rPr>
        <w:t>vernietigd.</w:t>
      </w:r>
      <w:r>
        <w:rPr>
          <w:rFonts w:ascii="Verdana" w:eastAsiaTheme="minorHAnsi" w:hAnsi="Verdana" w:cstheme="minorBidi"/>
          <w:sz w:val="20"/>
          <w:szCs w:val="20"/>
          <w:lang w:eastAsia="en-US"/>
        </w:rPr>
        <w:t xml:space="preserve"> Uit het eerste lid volgt dat voor de omzetting langs elektronische weg van een papieren proces-verbaal in een elektronische </w:t>
      </w:r>
      <w:r>
        <w:rPr>
          <w:rFonts w:ascii="Verdana" w:eastAsiaTheme="minorHAnsi" w:hAnsi="Verdana" w:cstheme="minorBidi"/>
          <w:sz w:val="20"/>
          <w:szCs w:val="20"/>
          <w:lang w:eastAsia="en-US"/>
        </w:rPr>
        <w:lastRenderedPageBreak/>
        <w:t xml:space="preserve">reproductie de eisen gesteld in de artikelen 6 en 8 van het Ab en artikel 26b van Ar van toepassing zijn. Voor een digitaal afschrift gelden alleen de eisen uit artikel 6 van het Ab, aangezien het originele proces-verbaal niet wordt vernietigd. Dit betekent dat een juiste en volledige weergave van het digitale afschrift voldoende is, </w:t>
      </w:r>
      <w:proofErr w:type="gramStart"/>
      <w:r>
        <w:rPr>
          <w:rFonts w:ascii="Verdana" w:eastAsiaTheme="minorHAnsi" w:hAnsi="Verdana" w:cstheme="minorBidi"/>
          <w:sz w:val="20"/>
          <w:szCs w:val="20"/>
          <w:lang w:eastAsia="en-US"/>
        </w:rPr>
        <w:t>hetgeen</w:t>
      </w:r>
      <w:proofErr w:type="gramEnd"/>
      <w:r>
        <w:rPr>
          <w:rFonts w:ascii="Verdana" w:eastAsiaTheme="minorHAnsi" w:hAnsi="Verdana" w:cstheme="minorBidi"/>
          <w:sz w:val="20"/>
          <w:szCs w:val="20"/>
          <w:lang w:eastAsia="en-US"/>
        </w:rPr>
        <w:t xml:space="preserve"> volgens de </w:t>
      </w:r>
      <w:proofErr w:type="spellStart"/>
      <w:r>
        <w:rPr>
          <w:rFonts w:ascii="Verdana" w:eastAsiaTheme="minorHAnsi" w:hAnsi="Verdana" w:cstheme="minorBidi"/>
          <w:sz w:val="20"/>
          <w:szCs w:val="20"/>
          <w:lang w:eastAsia="en-US"/>
        </w:rPr>
        <w:t>Rvdr</w:t>
      </w:r>
      <w:proofErr w:type="spellEnd"/>
      <w:r>
        <w:rPr>
          <w:rFonts w:ascii="Verdana" w:eastAsiaTheme="minorHAnsi" w:hAnsi="Verdana" w:cstheme="minorBidi"/>
          <w:sz w:val="20"/>
          <w:szCs w:val="20"/>
          <w:lang w:eastAsia="en-US"/>
        </w:rPr>
        <w:t xml:space="preserve"> een aanzienlijke verlichting is van de thans geldende eisen.</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Voor wat betreft het vervangen van een papieren proces-verbaal door een elektronische reproductie en het vernietigen daarvan, gelden meer eisen dan enkel een juiste en volledige weergave van het proces-verbaal, zoals het opmaken van een verklaring van vervanging of vernietiging door de zorgdrager op basis van artikel 8 Ab. </w:t>
      </w:r>
      <w:proofErr w:type="gramStart"/>
      <w:r>
        <w:rPr>
          <w:rFonts w:ascii="Verdana" w:eastAsiaTheme="minorHAnsi" w:hAnsi="Verdana" w:cstheme="minorBidi"/>
          <w:sz w:val="20"/>
          <w:szCs w:val="20"/>
          <w:lang w:eastAsia="en-US"/>
        </w:rPr>
        <w:t xml:space="preserve">Daarnaast  </w:t>
      </w:r>
      <w:proofErr w:type="gramEnd"/>
      <w:r>
        <w:rPr>
          <w:rFonts w:ascii="Verdana" w:eastAsiaTheme="minorHAnsi" w:hAnsi="Verdana" w:cstheme="minorBidi"/>
          <w:sz w:val="20"/>
          <w:szCs w:val="20"/>
          <w:lang w:eastAsia="en-US"/>
        </w:rPr>
        <w:t xml:space="preserve">gelden de eisen die worden opgenomen in het door de zorgdragers gezamenlijk op te stellen vervangingsbesluit ook onverkort om te bepalen of sprake is van een correcte omzetting. Deze eisen zijn dus te bestempelen als eisen die </w:t>
      </w:r>
      <w:proofErr w:type="gramStart"/>
      <w:r>
        <w:rPr>
          <w:rFonts w:ascii="Verdana" w:eastAsiaTheme="minorHAnsi" w:hAnsi="Verdana" w:cstheme="minorBidi"/>
          <w:sz w:val="20"/>
          <w:szCs w:val="20"/>
          <w:lang w:eastAsia="en-US"/>
        </w:rPr>
        <w:t>krachtens</w:t>
      </w:r>
      <w:proofErr w:type="gramEnd"/>
      <w:r>
        <w:rPr>
          <w:rFonts w:ascii="Verdana" w:eastAsiaTheme="minorHAnsi" w:hAnsi="Verdana" w:cstheme="minorBidi"/>
          <w:sz w:val="20"/>
          <w:szCs w:val="20"/>
          <w:lang w:eastAsia="en-US"/>
        </w:rPr>
        <w:t xml:space="preserve"> de </w:t>
      </w:r>
      <w:proofErr w:type="spellStart"/>
      <w:r>
        <w:rPr>
          <w:rFonts w:ascii="Verdana" w:eastAsiaTheme="minorHAnsi" w:hAnsi="Verdana" w:cstheme="minorBidi"/>
          <w:sz w:val="20"/>
          <w:szCs w:val="20"/>
          <w:lang w:eastAsia="en-US"/>
        </w:rPr>
        <w:t>Aw</w:t>
      </w:r>
      <w:proofErr w:type="spellEnd"/>
      <w:r>
        <w:rPr>
          <w:rFonts w:ascii="Verdana" w:eastAsiaTheme="minorHAnsi" w:hAnsi="Verdana" w:cstheme="minorBidi"/>
          <w:sz w:val="20"/>
          <w:szCs w:val="20"/>
          <w:lang w:eastAsia="en-US"/>
        </w:rPr>
        <w:t xml:space="preserve"> zijn gesteld. Artikel 26b Ar geeft een indicatie van de eisen die opgenomen moeten worden in het vervangingsbesluit voor de omzetting van processen-verbalen. </w:t>
      </w: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 xml:space="preserve">Met het van toepassing zijn van de </w:t>
      </w:r>
      <w:proofErr w:type="spellStart"/>
      <w:r w:rsidRPr="008127C3">
        <w:rPr>
          <w:rFonts w:ascii="Verdana" w:eastAsiaTheme="minorHAnsi" w:hAnsi="Verdana" w:cstheme="minorBidi"/>
          <w:sz w:val="20"/>
          <w:szCs w:val="20"/>
          <w:lang w:eastAsia="en-US"/>
        </w:rPr>
        <w:t>Aw</w:t>
      </w:r>
      <w:proofErr w:type="spellEnd"/>
      <w:r w:rsidRPr="008127C3">
        <w:rPr>
          <w:rFonts w:ascii="Verdana" w:eastAsiaTheme="minorHAnsi" w:hAnsi="Verdana" w:cstheme="minorBidi"/>
          <w:sz w:val="20"/>
          <w:szCs w:val="20"/>
          <w:lang w:eastAsia="en-US"/>
        </w:rPr>
        <w:t xml:space="preserve"> kan de feitelijke omzettingsprocedure die was opgenomen in bijlage I</w:t>
      </w:r>
      <w:r>
        <w:rPr>
          <w:rFonts w:ascii="Verdana" w:eastAsiaTheme="minorHAnsi" w:hAnsi="Verdana" w:cstheme="minorBidi"/>
          <w:sz w:val="20"/>
          <w:szCs w:val="20"/>
          <w:lang w:eastAsia="en-US"/>
        </w:rPr>
        <w:t>,</w:t>
      </w:r>
      <w:r w:rsidRPr="008127C3">
        <w:rPr>
          <w:rFonts w:ascii="Verdana" w:eastAsiaTheme="minorHAnsi" w:hAnsi="Verdana" w:cstheme="minorBidi"/>
          <w:sz w:val="20"/>
          <w:szCs w:val="20"/>
          <w:lang w:eastAsia="en-US"/>
        </w:rPr>
        <w:t xml:space="preserve"> vervallen. In de plaats daarvan dient de zorgdrager op grond van artikel 26b Ar in het vervangingsbesluit inzicht te verschaffen in de volgende aspecten van het vervangingsproces: </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 reikwijdte van het vervangingspro</w:t>
      </w:r>
      <w:r>
        <w:rPr>
          <w:rFonts w:ascii="Verdana" w:eastAsiaTheme="minorHAnsi" w:hAnsi="Verdana" w:cstheme="minorBidi"/>
          <w:sz w:val="20"/>
          <w:szCs w:val="20"/>
          <w:lang w:eastAsia="en-US"/>
        </w:rPr>
        <w:t>ces, waartoe in elk geval wordt</w:t>
      </w:r>
      <w:r w:rsidRPr="008127C3">
        <w:rPr>
          <w:rFonts w:ascii="Verdana" w:eastAsiaTheme="minorHAnsi" w:hAnsi="Verdana" w:cstheme="minorBidi"/>
          <w:sz w:val="20"/>
          <w:szCs w:val="20"/>
          <w:lang w:eastAsia="en-US"/>
        </w:rPr>
        <w:t xml:space="preserve"> gerekend een opgave van de organisatieonderdelen en de categorieën archiefbescheiden waarvoor het vervangingsproces geldt,</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 inrichting van de apparatuur waarmee wordt vervangen, de gekozen instellingen en de randapparatuur,</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voor zover van toepassing de software en de gekozen instellingen,</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w:t>
      </w:r>
      <w:r>
        <w:rPr>
          <w:rFonts w:ascii="Verdana" w:eastAsiaTheme="minorHAnsi" w:hAnsi="Verdana" w:cstheme="minorBidi"/>
          <w:sz w:val="20"/>
          <w:szCs w:val="20"/>
          <w:lang w:eastAsia="en-US"/>
        </w:rPr>
        <w:t xml:space="preserve"> criteria voor de keuze</w:t>
      </w:r>
      <w:r w:rsidRPr="008127C3">
        <w:rPr>
          <w:rFonts w:ascii="Verdana" w:eastAsiaTheme="minorHAnsi" w:hAnsi="Verdana" w:cstheme="minorBidi"/>
          <w:sz w:val="20"/>
          <w:szCs w:val="20"/>
          <w:lang w:eastAsia="en-US"/>
        </w:rPr>
        <w:t xml:space="preserve"> van reproductie in kleur, grijswaarden of </w:t>
      </w:r>
      <w:proofErr w:type="spellStart"/>
      <w:r w:rsidRPr="008127C3">
        <w:rPr>
          <w:rFonts w:ascii="Verdana" w:eastAsiaTheme="minorHAnsi" w:hAnsi="Verdana" w:cstheme="minorBidi"/>
          <w:sz w:val="20"/>
          <w:szCs w:val="20"/>
          <w:lang w:eastAsia="en-US"/>
        </w:rPr>
        <w:t>zwartwit</w:t>
      </w:r>
      <w:proofErr w:type="spellEnd"/>
      <w:r w:rsidRPr="008127C3">
        <w:rPr>
          <w:rFonts w:ascii="Verdana" w:eastAsiaTheme="minorHAnsi" w:hAnsi="Verdana" w:cstheme="minorBidi"/>
          <w:sz w:val="20"/>
          <w:szCs w:val="20"/>
          <w:lang w:eastAsia="en-US"/>
        </w:rPr>
        <w:t>,</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 wijze waarop de reproductie tot stand komt, waartoe in elk geval worden gerekend de formaten, bewerkingen, metagegevens en, voor zover v</w:t>
      </w:r>
      <w:r>
        <w:rPr>
          <w:rFonts w:ascii="Verdana" w:eastAsiaTheme="minorHAnsi" w:hAnsi="Verdana" w:cstheme="minorBidi"/>
          <w:sz w:val="20"/>
          <w:szCs w:val="20"/>
          <w:lang w:eastAsia="en-US"/>
        </w:rPr>
        <w:t>an toepassing, de keuze</w:t>
      </w:r>
      <w:r w:rsidRPr="008127C3">
        <w:rPr>
          <w:rFonts w:ascii="Verdana" w:eastAsiaTheme="minorHAnsi" w:hAnsi="Verdana" w:cstheme="minorBidi"/>
          <w:sz w:val="20"/>
          <w:szCs w:val="20"/>
          <w:lang w:eastAsia="en-US"/>
        </w:rPr>
        <w:t xml:space="preserve"> van reproductie per batch of per stuk,</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 inrichting van de controle op juiste en volledige weergave en van het herstel van fouten,</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het proces van vernietiging van de vervangen archiefbescheiden, en</w:t>
      </w:r>
    </w:p>
    <w:p w:rsidR="00FF589D" w:rsidRPr="008127C3" w:rsidRDefault="00FF589D" w:rsidP="00FF589D">
      <w:pPr>
        <w:pStyle w:val="Normaalweb"/>
        <w:numPr>
          <w:ilvl w:val="0"/>
          <w:numId w:val="33"/>
        </w:numPr>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 kwaliteitsprocedures.</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 xml:space="preserve">Zoals </w:t>
      </w:r>
      <w:proofErr w:type="gramStart"/>
      <w:r w:rsidRPr="008127C3">
        <w:rPr>
          <w:rFonts w:ascii="Verdana" w:eastAsiaTheme="minorHAnsi" w:hAnsi="Verdana" w:cstheme="minorBidi"/>
          <w:sz w:val="20"/>
          <w:szCs w:val="20"/>
          <w:lang w:eastAsia="en-US"/>
        </w:rPr>
        <w:t>in het algemeen</w:t>
      </w:r>
      <w:proofErr w:type="gramEnd"/>
      <w:r w:rsidRPr="008127C3">
        <w:rPr>
          <w:rFonts w:ascii="Verdana" w:eastAsiaTheme="minorHAnsi" w:hAnsi="Verdana" w:cstheme="minorBidi"/>
          <w:sz w:val="20"/>
          <w:szCs w:val="20"/>
          <w:lang w:eastAsia="en-US"/>
        </w:rPr>
        <w:t xml:space="preserve"> deel is aangegeven zullen de politie en de bijzondere opsporingsdiensten, het openbaar ministerie en de rechtspraak gezamenlijk uitwerken welke categorieën van processtukken in aanmerking kunnen komen voor elektronische </w:t>
      </w:r>
      <w:r w:rsidRPr="008127C3">
        <w:rPr>
          <w:rFonts w:ascii="Verdana" w:eastAsiaTheme="minorHAnsi" w:hAnsi="Verdana" w:cstheme="minorBidi"/>
          <w:sz w:val="20"/>
          <w:szCs w:val="20"/>
          <w:lang w:eastAsia="en-US"/>
        </w:rPr>
        <w:lastRenderedPageBreak/>
        <w:t>rep</w:t>
      </w:r>
      <w:r>
        <w:rPr>
          <w:rFonts w:ascii="Verdana" w:eastAsiaTheme="minorHAnsi" w:hAnsi="Verdana" w:cstheme="minorBidi"/>
          <w:sz w:val="20"/>
          <w:szCs w:val="20"/>
          <w:lang w:eastAsia="en-US"/>
        </w:rPr>
        <w:t xml:space="preserve">roductie en vervanging; voorts </w:t>
      </w:r>
      <w:r w:rsidRPr="008127C3">
        <w:rPr>
          <w:rFonts w:ascii="Verdana" w:eastAsiaTheme="minorHAnsi" w:hAnsi="Verdana" w:cstheme="minorBidi"/>
          <w:sz w:val="20"/>
          <w:szCs w:val="20"/>
          <w:lang w:eastAsia="en-US"/>
        </w:rPr>
        <w:t>zullen zij gezamenlijk moeten bezien hoe de hiervoor genoemde aspecten van het vervangingsproces worden uitgewerkt.</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E</w:t>
      </w: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Artikel 6, vijfde lid, vervalt</w:t>
      </w:r>
      <w:r>
        <w:rPr>
          <w:rFonts w:ascii="Verdana" w:eastAsiaTheme="minorHAnsi" w:hAnsi="Verdana" w:cstheme="minorBidi"/>
          <w:sz w:val="20"/>
          <w:szCs w:val="20"/>
          <w:lang w:eastAsia="en-US"/>
        </w:rPr>
        <w:t>,</w:t>
      </w:r>
      <w:r w:rsidRPr="008127C3">
        <w:rPr>
          <w:rFonts w:ascii="Verdana" w:eastAsiaTheme="minorHAnsi" w:hAnsi="Verdana" w:cstheme="minorBidi"/>
          <w:sz w:val="20"/>
          <w:szCs w:val="20"/>
          <w:lang w:eastAsia="en-US"/>
        </w:rPr>
        <w:t xml:space="preserve"> nu in het besluit tot vervanging de inrichting van de controle op juiste en volledige weergave en van het herstel van fouten</w:t>
      </w:r>
      <w:r>
        <w:rPr>
          <w:rFonts w:ascii="Verdana" w:eastAsiaTheme="minorHAnsi" w:hAnsi="Verdana" w:cstheme="minorBidi"/>
          <w:sz w:val="20"/>
          <w:szCs w:val="20"/>
          <w:lang w:eastAsia="en-US"/>
        </w:rPr>
        <w:t>,</w:t>
      </w:r>
      <w:r w:rsidRPr="008127C3">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is geregeld</w:t>
      </w:r>
      <w:r w:rsidRPr="008127C3">
        <w:rPr>
          <w:rFonts w:ascii="Verdana" w:eastAsiaTheme="minorHAnsi" w:hAnsi="Verdana" w:cstheme="minorBidi"/>
          <w:sz w:val="20"/>
          <w:szCs w:val="20"/>
          <w:lang w:eastAsia="en-US"/>
        </w:rPr>
        <w:t>.</w:t>
      </w:r>
    </w:p>
    <w:p w:rsidR="00FF589D" w:rsidRDefault="00FF589D" w:rsidP="00FF589D">
      <w:pPr>
        <w:pStyle w:val="Normaalweb"/>
        <w:spacing w:before="0" w:beforeAutospacing="0" w:after="0" w:afterAutospacing="0" w:line="360" w:lineRule="auto"/>
        <w:rPr>
          <w:rFonts w:ascii="Verdana" w:eastAsiaTheme="minorHAnsi" w:hAnsi="Verdana" w:cstheme="minorBidi"/>
          <w:b/>
          <w:sz w:val="20"/>
          <w:szCs w:val="20"/>
          <w:lang w:eastAsia="en-US"/>
        </w:rPr>
      </w:pPr>
    </w:p>
    <w:p w:rsidR="00FF589D" w:rsidRPr="00827F58" w:rsidRDefault="00FF589D" w:rsidP="00FF589D">
      <w:pPr>
        <w:pStyle w:val="Normaalweb"/>
        <w:spacing w:before="0" w:beforeAutospacing="0" w:after="0" w:afterAutospacing="0" w:line="360" w:lineRule="auto"/>
        <w:rPr>
          <w:rFonts w:ascii="Verdana" w:eastAsiaTheme="minorHAnsi" w:hAnsi="Verdana" w:cstheme="minorBidi"/>
          <w:b/>
          <w:sz w:val="20"/>
          <w:szCs w:val="20"/>
          <w:lang w:eastAsia="en-US"/>
        </w:rPr>
      </w:pPr>
      <w:r w:rsidRPr="00827F58">
        <w:rPr>
          <w:rFonts w:ascii="Verdana" w:eastAsiaTheme="minorHAnsi" w:hAnsi="Verdana" w:cstheme="minorBidi"/>
          <w:b/>
          <w:sz w:val="20"/>
          <w:szCs w:val="20"/>
          <w:lang w:eastAsia="en-US"/>
        </w:rPr>
        <w:t>Artikel II</w:t>
      </w: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BC38B1"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EF734A">
        <w:rPr>
          <w:rFonts w:ascii="Verdana" w:hAnsi="Verdana"/>
          <w:sz w:val="20"/>
          <w:szCs w:val="20"/>
        </w:rPr>
        <w:t xml:space="preserve">Het besluit treedt in werking met ingang van de dag na de publicatie in het Staatsblad. </w:t>
      </w:r>
      <w:r>
        <w:rPr>
          <w:rFonts w:ascii="Verdana" w:hAnsi="Verdana"/>
          <w:sz w:val="20"/>
          <w:szCs w:val="20"/>
        </w:rPr>
        <w:t>In dit</w:t>
      </w:r>
      <w:r w:rsidRPr="00EF734A">
        <w:rPr>
          <w:rFonts w:ascii="Verdana" w:hAnsi="Verdana"/>
          <w:sz w:val="20"/>
          <w:szCs w:val="20"/>
        </w:rPr>
        <w:t xml:space="preserve"> geval </w:t>
      </w:r>
      <w:r>
        <w:rPr>
          <w:rFonts w:ascii="Verdana" w:hAnsi="Verdana"/>
          <w:sz w:val="20"/>
          <w:szCs w:val="20"/>
        </w:rPr>
        <w:t xml:space="preserve">is </w:t>
      </w:r>
      <w:r w:rsidRPr="00EF734A">
        <w:rPr>
          <w:rFonts w:ascii="Verdana" w:hAnsi="Verdana"/>
          <w:sz w:val="20"/>
          <w:szCs w:val="20"/>
        </w:rPr>
        <w:t>aanleiding een uitzondering te maken op de regel van de vaste verander</w:t>
      </w:r>
      <w:r>
        <w:rPr>
          <w:rFonts w:ascii="Verdana" w:hAnsi="Verdana"/>
          <w:sz w:val="20"/>
          <w:szCs w:val="20"/>
        </w:rPr>
        <w:t xml:space="preserve">momenten, aangezien het besluit mogelijk maakt </w:t>
      </w:r>
      <w:proofErr w:type="gramStart"/>
      <w:r>
        <w:rPr>
          <w:rFonts w:ascii="Verdana" w:hAnsi="Verdana"/>
          <w:sz w:val="20"/>
          <w:szCs w:val="20"/>
        </w:rPr>
        <w:t xml:space="preserve">om </w:t>
      </w:r>
      <w:r w:rsidRPr="00BC38B1">
        <w:rPr>
          <w:rFonts w:ascii="Verdana" w:hAnsi="Verdana"/>
          <w:bCs/>
          <w:iCs/>
          <w:sz w:val="20"/>
          <w:szCs w:val="20"/>
        </w:rPr>
        <w:t xml:space="preserve"> </w:t>
      </w:r>
      <w:proofErr w:type="gramEnd"/>
      <w:r w:rsidRPr="00BC38B1">
        <w:rPr>
          <w:rFonts w:ascii="Verdana" w:hAnsi="Verdana"/>
          <w:bCs/>
          <w:iCs/>
          <w:sz w:val="20"/>
          <w:szCs w:val="20"/>
        </w:rPr>
        <w:t xml:space="preserve">processen-verbaal te vervangen door middel van </w:t>
      </w:r>
      <w:r>
        <w:rPr>
          <w:rFonts w:ascii="Verdana" w:hAnsi="Verdana"/>
          <w:bCs/>
          <w:iCs/>
          <w:sz w:val="20"/>
          <w:szCs w:val="20"/>
        </w:rPr>
        <w:t>reproductie</w:t>
      </w:r>
      <w:r w:rsidRPr="00BC38B1">
        <w:rPr>
          <w:rFonts w:ascii="Verdana" w:hAnsi="Verdana"/>
          <w:bCs/>
          <w:iCs/>
          <w:sz w:val="20"/>
          <w:szCs w:val="20"/>
        </w:rPr>
        <w:t>s</w:t>
      </w:r>
      <w:r>
        <w:rPr>
          <w:rFonts w:ascii="Verdana" w:hAnsi="Verdana"/>
          <w:bCs/>
          <w:iCs/>
          <w:sz w:val="20"/>
          <w:szCs w:val="20"/>
        </w:rPr>
        <w:t xml:space="preserve"> (evenals digitale afschriften)</w:t>
      </w:r>
      <w:r w:rsidRPr="00BC38B1">
        <w:rPr>
          <w:rFonts w:ascii="Verdana" w:hAnsi="Verdana"/>
          <w:bCs/>
          <w:iCs/>
          <w:sz w:val="20"/>
          <w:szCs w:val="20"/>
        </w:rPr>
        <w:t xml:space="preserve"> en de processen verbaal waarvan een </w:t>
      </w:r>
      <w:r>
        <w:rPr>
          <w:rFonts w:ascii="Verdana" w:hAnsi="Verdana"/>
          <w:bCs/>
          <w:iCs/>
          <w:sz w:val="20"/>
          <w:szCs w:val="20"/>
        </w:rPr>
        <w:t>reproductie</w:t>
      </w:r>
      <w:r w:rsidRPr="00BC38B1">
        <w:rPr>
          <w:rFonts w:ascii="Verdana" w:hAnsi="Verdana"/>
          <w:bCs/>
          <w:iCs/>
          <w:sz w:val="20"/>
          <w:szCs w:val="20"/>
        </w:rPr>
        <w:t xml:space="preserve"> is gemaakt te vernietigen</w:t>
      </w:r>
      <w:r>
        <w:rPr>
          <w:rFonts w:ascii="Verdana" w:hAnsi="Verdana"/>
          <w:bCs/>
          <w:iCs/>
          <w:sz w:val="20"/>
          <w:szCs w:val="20"/>
        </w:rPr>
        <w:t>, waardoor de huidige werkwijze wordt gestroomlijnd, zoals is beschreven in het algemeen deel.</w:t>
      </w: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p>
    <w:p w:rsidR="00FF589D" w:rsidRPr="008127C3" w:rsidRDefault="00FF589D" w:rsidP="00FF589D">
      <w:pPr>
        <w:pStyle w:val="Normaalweb"/>
        <w:spacing w:before="0" w:beforeAutospacing="0" w:after="0" w:afterAutospacing="0" w:line="360" w:lineRule="auto"/>
        <w:rPr>
          <w:rFonts w:ascii="Verdana" w:eastAsiaTheme="minorHAnsi" w:hAnsi="Verdana" w:cstheme="minorBidi"/>
          <w:sz w:val="20"/>
          <w:szCs w:val="20"/>
          <w:lang w:eastAsia="en-US"/>
        </w:rPr>
      </w:pPr>
      <w:r w:rsidRPr="008127C3">
        <w:rPr>
          <w:rFonts w:ascii="Verdana" w:eastAsiaTheme="minorHAnsi" w:hAnsi="Verdana" w:cstheme="minorBidi"/>
          <w:sz w:val="20"/>
          <w:szCs w:val="20"/>
          <w:lang w:eastAsia="en-US"/>
        </w:rPr>
        <w:t>De Minister van Veiligheid en Justitie,</w:t>
      </w:r>
    </w:p>
    <w:p w:rsidR="00FF589D" w:rsidRPr="008127C3" w:rsidRDefault="00FF589D" w:rsidP="00FF589D">
      <w:pPr>
        <w:spacing w:line="360" w:lineRule="auto"/>
        <w:rPr>
          <w:sz w:val="20"/>
          <w:szCs w:val="20"/>
        </w:rPr>
      </w:pPr>
    </w:p>
    <w:p w:rsidR="008D59D8" w:rsidRDefault="008D59D8" w:rsidP="00427DB9">
      <w:pPr>
        <w:spacing w:after="200" w:line="276" w:lineRule="auto"/>
      </w:pPr>
    </w:p>
    <w:sectPr w:rsidR="008D59D8">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687" w:rsidRDefault="00A05687">
      <w:r>
        <w:separator/>
      </w:r>
    </w:p>
    <w:p w:rsidR="00A05687" w:rsidRDefault="00A05687"/>
    <w:p w:rsidR="00A05687" w:rsidRDefault="00A05687"/>
    <w:p w:rsidR="00A05687" w:rsidRDefault="00A05687"/>
  </w:endnote>
  <w:endnote w:type="continuationSeparator" w:id="0">
    <w:p w:rsidR="00A05687" w:rsidRDefault="00A05687">
      <w:r>
        <w:continuationSeparator/>
      </w:r>
    </w:p>
    <w:p w:rsidR="00A05687" w:rsidRDefault="00A05687"/>
    <w:p w:rsidR="00A05687" w:rsidRDefault="00A05687"/>
    <w:p w:rsidR="00A05687" w:rsidRDefault="00A05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IX Barcode">
    <w:altName w:val="Courier"/>
    <w:charset w:val="00"/>
    <w:family w:val="swiss"/>
    <w:pitch w:val="variable"/>
    <w:sig w:usb0="00000003" w:usb1="00000000"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sidR="00BE5F9F">
      <w:rPr>
        <w:rStyle w:val="Paginanummer"/>
      </w:rPr>
      <w:fldChar w:fldCharType="separate"/>
    </w:r>
    <w:r w:rsidR="00BE5F9F">
      <w:rPr>
        <w:rStyle w:val="Paginanummer"/>
        <w:noProof/>
      </w:rPr>
      <w:t>13</w:t>
    </w:r>
    <w:r>
      <w:rPr>
        <w:rStyle w:val="Paginanummer"/>
      </w:rPr>
      <w:fldChar w:fldCharType="end"/>
    </w:r>
  </w:p>
  <w:p w:rsidR="003C7F6B" w:rsidRDefault="003C7F6B">
    <w:pPr>
      <w:pStyle w:val="Voettekst"/>
    </w:pPr>
  </w:p>
  <w:p w:rsidR="003C7F6B" w:rsidRDefault="003C7F6B"/>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3C7F6B">
          <w:pPr>
            <w:pStyle w:val="Huisstijl-Rubricering"/>
          </w:pPr>
          <w:r>
            <w:t>VERTROUWELIJK</w:t>
          </w:r>
        </w:p>
      </w:tc>
      <w:tc>
        <w:tcPr>
          <w:tcW w:w="2148" w:type="dxa"/>
        </w:tcPr>
        <w:p w:rsidR="003C7F6B" w:rsidRDefault="003C7F6B">
          <w:pPr>
            <w:pStyle w:val="Huisstijl-Paginanummering"/>
          </w:pPr>
          <w:r>
            <w:rPr>
              <w:rStyle w:val="Huisstijl-GegevenCharChar"/>
            </w:rPr>
            <w:t>Pagina  van</w:t>
          </w:r>
          <w:r>
            <w:t xml:space="preserve"> </w:t>
          </w:r>
          <w:r w:rsidR="00BE5F9F">
            <w:fldChar w:fldCharType="begin"/>
          </w:r>
          <w:r w:rsidR="00BE5F9F">
            <w:instrText xml:space="preserve"> NUMPAGES   \* MERGEFORMAT </w:instrText>
          </w:r>
          <w:r w:rsidR="00BE5F9F">
            <w:fldChar w:fldCharType="separate"/>
          </w:r>
          <w:r w:rsidR="00BE5F9F">
            <w:t>13</w:t>
          </w:r>
          <w:r w:rsidR="00BE5F9F">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3C7F6B">
      <w:trPr>
        <w:trHeight w:hRule="exact" w:val="240"/>
      </w:trPr>
      <w:tc>
        <w:tcPr>
          <w:tcW w:w="7752" w:type="dxa"/>
        </w:tcPr>
        <w:p w:rsidR="003C7F6B" w:rsidRDefault="003C7F6B">
          <w:pPr>
            <w:pStyle w:val="Huisstijl-Rubricering"/>
          </w:pPr>
        </w:p>
      </w:tc>
      <w:tc>
        <w:tcPr>
          <w:tcW w:w="2148" w:type="dxa"/>
        </w:tcPr>
        <w:p w:rsidR="003C7F6B" w:rsidRDefault="003C7F6B">
          <w:pPr>
            <w:pStyle w:val="Huisstijl-Paginanummering"/>
          </w:pPr>
        </w:p>
      </w:tc>
    </w:tr>
  </w:tbl>
  <w:p w:rsidR="003C7F6B" w:rsidRDefault="003C7F6B">
    <w:pPr>
      <w:pStyle w:val="Voettekst"/>
      <w:spacing w:line="240"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Huisstijl-Paginanummering"/>
      <w:rPr>
        <w:sz w:val="2"/>
      </w:rPr>
    </w:pPr>
  </w:p>
  <w:p w:rsidR="003C7F6B" w:rsidRDefault="003C7F6B">
    <w:pPr>
      <w:pStyle w:val="Voettekst"/>
      <w:spacing w:line="240"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636877"/>
      <w:docPartObj>
        <w:docPartGallery w:val="Page Numbers (Bottom of Page)"/>
        <w:docPartUnique/>
      </w:docPartObj>
    </w:sdtPr>
    <w:sdtContent>
      <w:p w:rsidR="00FF589D" w:rsidRDefault="00FF589D">
        <w:pPr>
          <w:pStyle w:val="Voettekst"/>
          <w:jc w:val="right"/>
        </w:pPr>
        <w:r>
          <w:fldChar w:fldCharType="begin"/>
        </w:r>
        <w:r>
          <w:instrText>PAGE   \* MERGEFORMAT</w:instrText>
        </w:r>
        <w:r>
          <w:fldChar w:fldCharType="separate"/>
        </w:r>
        <w:r w:rsidR="00BE5F9F">
          <w:rPr>
            <w:noProof/>
          </w:rPr>
          <w:t>13</w:t>
        </w:r>
        <w:r>
          <w:fldChar w:fldCharType="end"/>
        </w:r>
      </w:p>
    </w:sdtContent>
  </w:sdt>
  <w:p w:rsidR="00B032B4" w:rsidRDefault="00BE5F9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687" w:rsidRDefault="00A05687">
      <w:r>
        <w:separator/>
      </w:r>
    </w:p>
  </w:footnote>
  <w:footnote w:type="continuationSeparator" w:id="0">
    <w:p w:rsidR="00A05687" w:rsidRDefault="00A05687">
      <w:r>
        <w:continuationSeparator/>
      </w:r>
    </w:p>
  </w:footnote>
  <w:footnote w:id="1">
    <w:p w:rsidR="00FF589D" w:rsidRDefault="00FF589D" w:rsidP="00FF589D">
      <w:pPr>
        <w:pStyle w:val="Voetnoottekst"/>
      </w:pPr>
      <w:r>
        <w:rPr>
          <w:rStyle w:val="Voetnootmarkering"/>
        </w:rPr>
        <w:footnoteRef/>
      </w:r>
      <w:r>
        <w:t xml:space="preserve"> </w:t>
      </w:r>
      <w:r w:rsidRPr="00511A5C">
        <w:t>Bij zorgdragers valt ook te denken aan de Minister van Defensie (Koninklijke Marechaussee) en aan de vier Bijzondere Opsporingsdiensten.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3C7F6B">
    <w:pPr>
      <w:pStyle w:val="Koptekst"/>
    </w:pPr>
  </w:p>
  <w:p w:rsidR="003C7F6B" w:rsidRDefault="003C7F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6B" w:rsidRDefault="00A05687">
    <w:pPr>
      <w:pStyle w:val="Koptekst"/>
    </w:pPr>
    <w:r>
      <w:rPr>
        <w:noProof/>
        <w:sz w:val="20"/>
      </w:rPr>
      <w:drawing>
        <wp:anchor distT="0" distB="0" distL="114300" distR="114300" simplePos="0" relativeHeight="251657728" behindDoc="0" locked="1" layoutInCell="1" allowOverlap="1" wp14:anchorId="5326B481" wp14:editId="0EE7A0CB">
          <wp:simplePos x="0" y="0"/>
          <wp:positionH relativeFrom="page">
            <wp:posOffset>3810</wp:posOffset>
          </wp:positionH>
          <wp:positionV relativeFrom="page">
            <wp:posOffset>0</wp:posOffset>
          </wp:positionV>
          <wp:extent cx="6432550" cy="2393950"/>
          <wp:effectExtent l="0" t="0" r="6350" b="6350"/>
          <wp:wrapNone/>
          <wp:docPr id="122" name="Afbeelding 122" descr="wijwillemalexan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wijwillemalexand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0" cy="2393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2B4" w:rsidRDefault="00BE5F9F" w:rsidP="00B43918">
    <w:pPr>
      <w:pStyle w:val="Koptekst"/>
      <w:tabs>
        <w:tab w:val="clear" w:pos="4536"/>
        <w:tab w:val="left" w:pos="154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60E8"/>
    <w:lvl w:ilvl="0">
      <w:start w:val="1"/>
      <w:numFmt w:val="decimal"/>
      <w:lvlText w:val="%1."/>
      <w:lvlJc w:val="left"/>
      <w:pPr>
        <w:tabs>
          <w:tab w:val="num" w:pos="1492"/>
        </w:tabs>
        <w:ind w:left="1492" w:hanging="360"/>
      </w:pPr>
    </w:lvl>
  </w:abstractNum>
  <w:abstractNum w:abstractNumId="1">
    <w:nsid w:val="FFFFFF7D"/>
    <w:multiLevelType w:val="singleLevel"/>
    <w:tmpl w:val="C346CD82"/>
    <w:lvl w:ilvl="0">
      <w:start w:val="1"/>
      <w:numFmt w:val="decimal"/>
      <w:lvlText w:val="%1."/>
      <w:lvlJc w:val="left"/>
      <w:pPr>
        <w:tabs>
          <w:tab w:val="num" w:pos="1209"/>
        </w:tabs>
        <w:ind w:left="1209" w:hanging="360"/>
      </w:pPr>
    </w:lvl>
  </w:abstractNum>
  <w:abstractNum w:abstractNumId="2">
    <w:nsid w:val="FFFFFF7E"/>
    <w:multiLevelType w:val="singleLevel"/>
    <w:tmpl w:val="908A9F5A"/>
    <w:lvl w:ilvl="0">
      <w:start w:val="1"/>
      <w:numFmt w:val="decimal"/>
      <w:lvlText w:val="%1."/>
      <w:lvlJc w:val="left"/>
      <w:pPr>
        <w:tabs>
          <w:tab w:val="num" w:pos="926"/>
        </w:tabs>
        <w:ind w:left="926" w:hanging="360"/>
      </w:pPr>
    </w:lvl>
  </w:abstractNum>
  <w:abstractNum w:abstractNumId="3">
    <w:nsid w:val="FFFFFF7F"/>
    <w:multiLevelType w:val="singleLevel"/>
    <w:tmpl w:val="052E2706"/>
    <w:lvl w:ilvl="0">
      <w:start w:val="1"/>
      <w:numFmt w:val="decimal"/>
      <w:lvlText w:val="%1."/>
      <w:lvlJc w:val="left"/>
      <w:pPr>
        <w:tabs>
          <w:tab w:val="num" w:pos="643"/>
        </w:tabs>
        <w:ind w:left="643" w:hanging="360"/>
      </w:pPr>
    </w:lvl>
  </w:abstractNum>
  <w:abstractNum w:abstractNumId="4">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B798BA92"/>
    <w:lvl w:ilvl="0">
      <w:start w:val="1"/>
      <w:numFmt w:val="decimal"/>
      <w:lvlText w:val="%1."/>
      <w:lvlJc w:val="left"/>
      <w:pPr>
        <w:tabs>
          <w:tab w:val="num" w:pos="360"/>
        </w:tabs>
        <w:ind w:left="360" w:hanging="360"/>
      </w:pPr>
    </w:lvl>
  </w:abstractNum>
  <w:abstractNum w:abstractNumId="9">
    <w:nsid w:val="07D765B7"/>
    <w:multiLevelType w:val="hybridMultilevel"/>
    <w:tmpl w:val="BF62A74C"/>
    <w:lvl w:ilvl="0" w:tplc="C9FE95D6">
      <w:start w:val="1"/>
      <w:numFmt w:val="lowerLetter"/>
      <w:pStyle w:val="lijst-alphabet"/>
      <w:lvlText w:val="%1."/>
      <w:lvlJc w:val="left"/>
      <w:pPr>
        <w:tabs>
          <w:tab w:val="num" w:pos="1040"/>
        </w:tabs>
        <w:ind w:left="1021" w:hanging="341"/>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3">
    <w:nsid w:val="12C139B1"/>
    <w:multiLevelType w:val="hybridMultilevel"/>
    <w:tmpl w:val="D18C7A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202600FF"/>
    <w:multiLevelType w:val="hybridMultilevel"/>
    <w:tmpl w:val="36D4B7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29C40D86"/>
    <w:multiLevelType w:val="hybridMultilevel"/>
    <w:tmpl w:val="F92A4E9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19">
    <w:nsid w:val="36534DFC"/>
    <w:multiLevelType w:val="hybridMultilevel"/>
    <w:tmpl w:val="9716CCDE"/>
    <w:lvl w:ilvl="0" w:tplc="E468E9A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nsid w:val="3EE21359"/>
    <w:multiLevelType w:val="hybridMultilevel"/>
    <w:tmpl w:val="218AFB6A"/>
    <w:lvl w:ilvl="0" w:tplc="82B619A0">
      <w:start w:val="1"/>
      <w:numFmt w:val="decimal"/>
      <w:pStyle w:val="lijst-nummer1"/>
      <w:lvlText w:val="%1."/>
      <w:lvlJc w:val="left"/>
      <w:pPr>
        <w:tabs>
          <w:tab w:val="num" w:pos="720"/>
        </w:tabs>
        <w:ind w:left="720" w:hanging="3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3F2C4A26"/>
    <w:multiLevelType w:val="multilevel"/>
    <w:tmpl w:val="A2ECAAD8"/>
    <w:lvl w:ilvl="0">
      <w:start w:val="1"/>
      <w:numFmt w:val="decimal"/>
      <w:pStyle w:val="kop1justitie"/>
      <w:lvlText w:val="%1."/>
      <w:lvlJc w:val="left"/>
      <w:pPr>
        <w:tabs>
          <w:tab w:val="num" w:pos="851"/>
        </w:tabs>
        <w:ind w:left="851" w:hanging="851"/>
      </w:pPr>
      <w:rPr>
        <w:rFonts w:ascii="Verdana" w:hAnsi="Verdana" w:hint="default"/>
        <w:b/>
        <w:i w:val="0"/>
        <w:sz w:val="30"/>
      </w:rPr>
    </w:lvl>
    <w:lvl w:ilvl="1">
      <w:start w:val="1"/>
      <w:numFmt w:val="decimal"/>
      <w:pStyle w:val="kop2justitie"/>
      <w:lvlText w:val="%1.%2"/>
      <w:lvlJc w:val="left"/>
      <w:pPr>
        <w:tabs>
          <w:tab w:val="num" w:pos="851"/>
        </w:tabs>
        <w:ind w:left="851" w:hanging="851"/>
      </w:pPr>
      <w:rPr>
        <w:rFonts w:ascii="Verdana" w:hAnsi="Verdana" w:hint="default"/>
        <w:b/>
        <w:i w:val="0"/>
        <w:sz w:val="26"/>
      </w:rPr>
    </w:lvl>
    <w:lvl w:ilvl="2">
      <w:start w:val="1"/>
      <w:numFmt w:val="decimal"/>
      <w:pStyle w:val="kop3justitie"/>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4">
    <w:nsid w:val="5ECC7F89"/>
    <w:multiLevelType w:val="multilevel"/>
    <w:tmpl w:val="81E48ACE"/>
    <w:lvl w:ilvl="0">
      <w:start w:val="1"/>
      <w:numFmt w:val="decimal"/>
      <w:pStyle w:val="opsomming-cijfersjustitie"/>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5">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6">
    <w:nsid w:val="7F4841C7"/>
    <w:multiLevelType w:val="multilevel"/>
    <w:tmpl w:val="15BE652E"/>
    <w:lvl w:ilvl="0">
      <w:start w:val="1"/>
      <w:numFmt w:val="lowerLetter"/>
      <w:pStyle w:val="opsomming-lettersjustitie"/>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abstractNumId w:val="11"/>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22"/>
  </w:num>
  <w:num w:numId="14">
    <w:abstractNumId w:val="15"/>
  </w:num>
  <w:num w:numId="15">
    <w:abstractNumId w:val="18"/>
  </w:num>
  <w:num w:numId="16">
    <w:abstractNumId w:val="24"/>
  </w:num>
  <w:num w:numId="17">
    <w:abstractNumId w:val="21"/>
  </w:num>
  <w:num w:numId="18">
    <w:abstractNumId w:val="23"/>
  </w:num>
  <w:num w:numId="19">
    <w:abstractNumId w:val="20"/>
  </w:num>
  <w:num w:numId="20">
    <w:abstractNumId w:val="9"/>
  </w:num>
  <w:num w:numId="21">
    <w:abstractNumId w:val="26"/>
  </w:num>
  <w:num w:numId="22">
    <w:abstractNumId w:val="25"/>
  </w:num>
  <w:num w:numId="23">
    <w:abstractNumId w:val="12"/>
  </w:num>
  <w:num w:numId="24">
    <w:abstractNumId w:val="18"/>
  </w:num>
  <w:num w:numId="25">
    <w:abstractNumId w:val="24"/>
  </w:num>
  <w:num w:numId="26">
    <w:abstractNumId w:val="26"/>
  </w:num>
  <w:num w:numId="27">
    <w:abstractNumId w:val="23"/>
  </w:num>
  <w:num w:numId="28">
    <w:abstractNumId w:val="25"/>
  </w:num>
  <w:num w:numId="29">
    <w:abstractNumId w:val="12"/>
  </w:num>
  <w:num w:numId="30">
    <w:abstractNumId w:val="17"/>
  </w:num>
  <w:num w:numId="31">
    <w:abstractNumId w:val="19"/>
  </w:num>
  <w:num w:numId="32">
    <w:abstractNumId w:val="1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GB" w:vendorID="64" w:dllVersion="131078" w:nlCheck="1" w:checkStyle="1"/>
  <w:activeWritingStyle w:appName="MSWord" w:lang="en-US" w:vendorID="64" w:dllVersion="131077" w:nlCheck="1" w:checkStyle="1"/>
  <w:activeWritingStyle w:appName="MSWord" w:lang="en-US" w:vendorID="64" w:dllVersion="131078" w:nlCheck="1" w:checkStyle="1"/>
  <w:activeWritingStyle w:appName="MSWord" w:lang="en-GB" w:vendorID="64" w:dllVersion="131077"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8193" style="mso-position-horizontal-relative:page;mso-position-vertical-relative:page" strokecolor="fuchsia">
      <v:stroke color="fuchsi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dres" w:val=" "/>
    <w:docVar w:name="Carma DocSys~CanReopen" w:val="0"/>
    <w:docVar w:name="Carma DocSys~XML" w:val="&lt;?xml version=&quot;1.0&quot;?&gt;_x000d__x000a_&lt;data customer=&quot;minjus&quot; profile=&quot;minjus&quot; model=&quot;wij_willem-alexander.xml&quot; country-code=&quot;31&quot; target=&quot;Microsoft Word&quot; target-version=&quot;14.0&quot; target-build=&quot;14.0.7121&quot; engine-version=&quot;2.6.10&quot; lastuser-initials=&quot;ZJ-B&quot; lastuser-name=&quot;Zuurmond J.C.M. - BD/DWJZ/SSR&quot;&gt;&lt;wijwa template=&quot;wij_willem-alexander.dot&quot; id=&quot;fb26ea6ce8b749498482ecb9e6614eaf&quot; version=&quot;1.0&quot; reopen=&quot;false&quot; lcid=&quot;1043&quot; locale=&quot;nl&quot;&gt;&lt;PAPER first=&quot;blanco&quot; other=&quot;blanco&quot;/&gt;&lt;zaak/&gt;&lt;digijust value=&quot;0&quot; formatted-value=&quot;0&quot;/&gt;&lt;documentsubtype formatted-value=&quot;Overige&quot;/&gt;&lt;documenttitel formatted-value=&quot;Wij Willem Alexander&quot;/&gt;&lt;heropend value=&quot;false&quot;/&gt;&lt;vorm value=&quot;Digitaal&quot;/&gt;&lt;ZaakLocatie/&gt;&lt;zaakkenmerk/&gt;&lt;zaaktitel/&gt;&lt;drager formatted-value=&quot;Document&quot;/&gt;&lt;documentclass value=&quot;Overige&quot; formatted-value=&quot;Overige&quot;/&gt;&lt;onderdeel/&gt;&lt;digionderdeel/&gt;&lt;documentdatum/&gt;&lt;documentomschrijving/&gt;&lt;adres/&gt;&lt;geadresseerde/&gt;&lt;land/&gt;&lt;postcode/&gt;&lt;woonplaats/&gt;&lt;titel/&gt;&lt;onderwerp/&gt;&lt;contactpersoon/&gt;&lt;directoraat/&gt;&lt;docstatus/&gt;&lt;documenttype value=&quot;Uitgaand&quot;/&gt;&lt;doctype value=&quot;Wij Willem Alexander&quot; formatted-value=&quot;Wij Willem Alexander&quot;/&gt;&lt;/wijwa&gt;&lt;/data&gt;_x000d__x000a_"/>
    <w:docVar w:name="clausule" w:val="clausule"/>
  </w:docVars>
  <w:rsids>
    <w:rsidRoot w:val="00A05687"/>
    <w:rsid w:val="003C7F6B"/>
    <w:rsid w:val="00427DB9"/>
    <w:rsid w:val="006706B1"/>
    <w:rsid w:val="006A7657"/>
    <w:rsid w:val="0078052C"/>
    <w:rsid w:val="008D59D8"/>
    <w:rsid w:val="00A05687"/>
    <w:rsid w:val="00B340C2"/>
    <w:rsid w:val="00B46CE5"/>
    <w:rsid w:val="00BE5F9F"/>
    <w:rsid w:val="00D97908"/>
    <w:rsid w:val="00DD5F8B"/>
    <w:rsid w:val="00FF58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style="mso-position-horizontal-relative:page;mso-position-vertical-relative:page" strokecolor="fuchsia">
      <v:stroke color="fuchsi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link w:val="KoptekstChar"/>
    <w:uiPriority w:val="99"/>
    <w:pPr>
      <w:tabs>
        <w:tab w:val="center" w:pos="4536"/>
        <w:tab w:val="right" w:pos="9072"/>
      </w:tabs>
    </w:pPr>
  </w:style>
  <w:style w:type="paragraph" w:styleId="Voettekst">
    <w:name w:val="footer"/>
    <w:basedOn w:val="broodtekst"/>
    <w:link w:val="VoettekstChar"/>
    <w:uiPriority w:val="99"/>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link w:val="VoetnoottekstChar"/>
    <w:uiPriority w:val="99"/>
    <w:semiHidden/>
    <w:rPr>
      <w:sz w:val="16"/>
      <w:szCs w:val="20"/>
    </w:rPr>
  </w:style>
  <w:style w:type="character" w:styleId="Voetnootmarkering">
    <w:name w:val="footnote reference"/>
    <w:basedOn w:val="Standaardalinea-lettertype"/>
    <w:uiPriority w:val="99"/>
    <w:semiHidden/>
    <w:rPr>
      <w:vertAlign w:val="superscript"/>
    </w:rPr>
  </w:style>
  <w:style w:type="paragraph" w:styleId="Normaalweb">
    <w:name w:val="Normal (Web)"/>
    <w:basedOn w:val="Standaard"/>
    <w:uiPriority w:val="99"/>
    <w:unhideWhenUsed/>
    <w:rsid w:val="00FF589D"/>
    <w:pPr>
      <w:spacing w:before="100" w:beforeAutospacing="1" w:after="100" w:afterAutospacing="1" w:line="240" w:lineRule="auto"/>
    </w:pPr>
    <w:rPr>
      <w:rFonts w:ascii="Times New Roman" w:hAnsi="Times New Roman"/>
      <w:sz w:val="24"/>
    </w:rPr>
  </w:style>
  <w:style w:type="character" w:customStyle="1" w:styleId="KoptekstChar">
    <w:name w:val="Koptekst Char"/>
    <w:basedOn w:val="Standaardalinea-lettertype"/>
    <w:link w:val="Koptekst"/>
    <w:uiPriority w:val="99"/>
    <w:rsid w:val="00FF589D"/>
    <w:rPr>
      <w:rFonts w:ascii="Verdana" w:hAnsi="Verdana"/>
      <w:sz w:val="18"/>
      <w:szCs w:val="18"/>
    </w:rPr>
  </w:style>
  <w:style w:type="character" w:customStyle="1" w:styleId="VoettekstChar">
    <w:name w:val="Voettekst Char"/>
    <w:basedOn w:val="Standaardalinea-lettertype"/>
    <w:link w:val="Voettekst"/>
    <w:uiPriority w:val="99"/>
    <w:rsid w:val="00FF589D"/>
    <w:rPr>
      <w:rFonts w:ascii="Verdana" w:hAnsi="Verdana"/>
      <w:sz w:val="18"/>
      <w:szCs w:val="18"/>
    </w:rPr>
  </w:style>
  <w:style w:type="character" w:customStyle="1" w:styleId="VoetnoottekstChar">
    <w:name w:val="Voetnoottekst Char"/>
    <w:basedOn w:val="Standaardalinea-lettertype"/>
    <w:link w:val="Voetnoottekst"/>
    <w:uiPriority w:val="99"/>
    <w:semiHidden/>
    <w:rsid w:val="00FF589D"/>
    <w:rPr>
      <w:rFonts w:ascii="Verdana" w:hAnsi="Verdana"/>
      <w:sz w:val="16"/>
    </w:rPr>
  </w:style>
  <w:style w:type="paragraph" w:styleId="Ballontekst">
    <w:name w:val="Balloon Text"/>
    <w:basedOn w:val="Standaard"/>
    <w:link w:val="BallontekstChar"/>
    <w:rsid w:val="00BE5F9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E5F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pPr>
      <w:spacing w:line="240" w:lineRule="atLeast"/>
    </w:pPr>
    <w:rPr>
      <w:rFonts w:ascii="Verdana" w:hAnsi="Verdana"/>
      <w:sz w:val="18"/>
      <w:szCs w:val="24"/>
    </w:rPr>
  </w:style>
  <w:style w:type="paragraph" w:styleId="Kop1">
    <w:name w:val="heading 1"/>
    <w:basedOn w:val="broodtekst"/>
    <w:next w:val="Standaard"/>
    <w:qFormat/>
    <w:pPr>
      <w:keepNext/>
      <w:spacing w:before="240" w:after="60"/>
      <w:outlineLvl w:val="0"/>
    </w:pPr>
    <w:rPr>
      <w:rFonts w:cs="Arial"/>
      <w:b/>
      <w:bCs/>
      <w:kern w:val="32"/>
      <w:sz w:val="32"/>
      <w:szCs w:val="32"/>
    </w:rPr>
  </w:style>
  <w:style w:type="paragraph" w:styleId="Kop2">
    <w:name w:val="heading 2"/>
    <w:basedOn w:val="broodtekst"/>
    <w:next w:val="Standaard"/>
    <w:qFormat/>
    <w:pPr>
      <w:keepNext/>
      <w:spacing w:before="240" w:after="60"/>
      <w:outlineLvl w:val="1"/>
    </w:pPr>
    <w:rPr>
      <w:rFonts w:cs="Arial"/>
      <w:b/>
      <w:bCs/>
      <w:i/>
      <w:iCs/>
      <w:sz w:val="28"/>
      <w:szCs w:val="28"/>
    </w:rPr>
  </w:style>
  <w:style w:type="paragraph" w:styleId="Kop3">
    <w:name w:val="heading 3"/>
    <w:basedOn w:val="broodtekst"/>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tabs>
        <w:tab w:val="left" w:pos="227"/>
        <w:tab w:val="left" w:pos="454"/>
        <w:tab w:val="left" w:pos="680"/>
      </w:tabs>
      <w:autoSpaceDE w:val="0"/>
      <w:autoSpaceDN w:val="0"/>
      <w:adjustRightInd w:val="0"/>
    </w:pPr>
    <w:rPr>
      <w:szCs w:val="18"/>
    </w:rPr>
  </w:style>
  <w:style w:type="paragraph" w:styleId="Koptekst">
    <w:name w:val="header"/>
    <w:basedOn w:val="broodtekst"/>
    <w:link w:val="KoptekstChar"/>
    <w:uiPriority w:val="99"/>
    <w:pPr>
      <w:tabs>
        <w:tab w:val="center" w:pos="4536"/>
        <w:tab w:val="right" w:pos="9072"/>
      </w:tabs>
    </w:pPr>
  </w:style>
  <w:style w:type="paragraph" w:styleId="Voettekst">
    <w:name w:val="footer"/>
    <w:basedOn w:val="broodtekst"/>
    <w:link w:val="VoettekstChar"/>
    <w:uiPriority w:val="99"/>
    <w:pPr>
      <w:tabs>
        <w:tab w:val="center" w:pos="4536"/>
        <w:tab w:val="right" w:pos="9072"/>
      </w:tabs>
    </w:pPr>
  </w:style>
  <w:style w:type="character" w:styleId="GevolgdeHyperlink">
    <w:name w:val="FollowedHyperlink"/>
    <w:basedOn w:val="Standaardalinea-lettertype"/>
    <w:rPr>
      <w:color w:val="800080"/>
      <w:u w:val="single"/>
    </w:rPr>
  </w:style>
  <w:style w:type="paragraph" w:customStyle="1" w:styleId="Huisstijl-Adres">
    <w:name w:val="Huisstijl-Adres"/>
    <w:basedOn w:val="broodtekst"/>
    <w:pPr>
      <w:tabs>
        <w:tab w:val="left" w:pos="192"/>
      </w:tabs>
      <w:spacing w:after="90" w:line="180" w:lineRule="exact"/>
    </w:pPr>
    <w:rPr>
      <w:noProof/>
      <w:sz w:val="13"/>
      <w:szCs w:val="13"/>
    </w:rPr>
  </w:style>
  <w:style w:type="paragraph" w:styleId="Lijstopsomteken">
    <w:name w:val="List Bullet"/>
    <w:basedOn w:val="broodtekst"/>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broodtekst"/>
    <w:pPr>
      <w:spacing w:after="92" w:line="180" w:lineRule="atLeast"/>
    </w:pPr>
    <w:rPr>
      <w:noProof/>
      <w:sz w:val="13"/>
    </w:rPr>
  </w:style>
  <w:style w:type="paragraph" w:customStyle="1" w:styleId="witregel1">
    <w:name w:val="witregel1"/>
    <w:basedOn w:val="broodtekst"/>
    <w:pPr>
      <w:spacing w:line="90" w:lineRule="atLeast"/>
    </w:pPr>
    <w:rPr>
      <w:sz w:val="2"/>
    </w:rPr>
  </w:style>
  <w:style w:type="paragraph" w:customStyle="1" w:styleId="Huisstijl-Rubricering">
    <w:name w:val="Huisstijl-Rubricering"/>
    <w:basedOn w:val="broodtekst"/>
    <w:pPr>
      <w:spacing w:line="180" w:lineRule="exact"/>
    </w:pPr>
    <w:rPr>
      <w:b/>
      <w:bCs/>
      <w:caps/>
      <w:noProof/>
      <w:sz w:val="13"/>
      <w:szCs w:val="13"/>
    </w:rPr>
  </w:style>
  <w:style w:type="paragraph" w:customStyle="1" w:styleId="adres">
    <w:name w:val="adres"/>
    <w:basedOn w:val="broodtekst"/>
    <w:rPr>
      <w:noProof/>
    </w:rPr>
  </w:style>
  <w:style w:type="character" w:styleId="Hyperlink">
    <w:name w:val="Hyperlink"/>
    <w:basedOn w:val="Standaardalinea-lettertype"/>
    <w:rPr>
      <w:color w:val="0000FF"/>
      <w:u w:val="single"/>
    </w:rPr>
  </w:style>
  <w:style w:type="paragraph" w:customStyle="1" w:styleId="Huisstijl-Retouradres">
    <w:name w:val="Huisstijl-Retouradres"/>
    <w:basedOn w:val="broodtekst"/>
    <w:pPr>
      <w:spacing w:line="180" w:lineRule="exact"/>
    </w:pPr>
    <w:rPr>
      <w:noProof/>
      <w:sz w:val="13"/>
    </w:rPr>
  </w:style>
  <w:style w:type="paragraph" w:customStyle="1" w:styleId="Huisstijl-Kopje">
    <w:name w:val="Huisstijl-Kopje"/>
    <w:basedOn w:val="broodtekst"/>
    <w:pPr>
      <w:spacing w:line="180" w:lineRule="atLeast"/>
    </w:pPr>
    <w:rPr>
      <w:b/>
      <w:sz w:val="13"/>
    </w:rPr>
  </w:style>
  <w:style w:type="paragraph" w:customStyle="1" w:styleId="Huisstijl-Voorwaarden">
    <w:name w:val="Huisstijl-Voorwaarden"/>
    <w:basedOn w:val="broodtekst"/>
    <w:pPr>
      <w:spacing w:line="180" w:lineRule="exact"/>
    </w:pPr>
    <w:rPr>
      <w:i/>
      <w:noProof/>
      <w:sz w:val="13"/>
    </w:rPr>
  </w:style>
  <w:style w:type="paragraph" w:customStyle="1" w:styleId="kixcode">
    <w:name w:val="kixcode"/>
    <w:basedOn w:val="broodtekst"/>
    <w:pPr>
      <w:spacing w:before="60" w:line="240" w:lineRule="auto"/>
    </w:pPr>
    <w:rPr>
      <w:rFonts w:ascii="KIX Barcode" w:hAnsi="KIX Barcode"/>
      <w:b/>
      <w:bCs/>
      <w:smallCaps/>
      <w:noProof/>
      <w:sz w:val="24"/>
    </w:rPr>
  </w:style>
  <w:style w:type="paragraph" w:customStyle="1" w:styleId="Huisstijl-Paginanummering">
    <w:name w:val="Huisstijl-Paginanummering"/>
    <w:basedOn w:val="broodtekst"/>
    <w:pPr>
      <w:spacing w:line="180" w:lineRule="exact"/>
    </w:pPr>
    <w:rPr>
      <w:noProof/>
      <w:sz w:val="13"/>
    </w:rPr>
  </w:style>
  <w:style w:type="paragraph" w:styleId="Lijstopsomteken2">
    <w:name w:val="List Bullet 2"/>
    <w:basedOn w:val="broodtekst"/>
    <w:pPr>
      <w:numPr>
        <w:numId w:val="14"/>
      </w:numPr>
      <w:tabs>
        <w:tab w:val="clear" w:pos="227"/>
      </w:tabs>
      <w:ind w:left="454" w:hanging="227"/>
    </w:pPr>
    <w:rPr>
      <w:noProof/>
    </w:rPr>
  </w:style>
  <w:style w:type="paragraph" w:customStyle="1" w:styleId="minofdir">
    <w:name w:val="minofdir"/>
    <w:basedOn w:val="broodtekst"/>
    <w:rPr>
      <w:rFonts w:ascii="RO VenW" w:hAnsi="RO VenW"/>
      <w:sz w:val="220"/>
    </w:rPr>
  </w:style>
  <w:style w:type="paragraph" w:customStyle="1" w:styleId="opsomming-bolletjesjustitie">
    <w:name w:val="opsomming-bolletjes_justitie"/>
    <w:basedOn w:val="broodtekst"/>
    <w:pPr>
      <w:numPr>
        <w:numId w:val="24"/>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styleId="Bijschrift">
    <w:name w:val="caption"/>
    <w:basedOn w:val="Standaard"/>
    <w:next w:val="Standaard"/>
    <w:qFormat/>
    <w:pPr>
      <w:spacing w:before="120" w:after="120"/>
    </w:pPr>
    <w:rPr>
      <w:b/>
      <w:bCs/>
      <w:sz w:val="20"/>
      <w:szCs w:val="20"/>
    </w:rPr>
  </w:style>
  <w:style w:type="paragraph" w:customStyle="1" w:styleId="opsomming-cijfersjustitie">
    <w:name w:val="opsomming-cijfers_justitie"/>
    <w:basedOn w:val="broodtekst"/>
    <w:pPr>
      <w:numPr>
        <w:numId w:val="25"/>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datumonderwerp">
    <w:name w:val="datumonderwerp"/>
    <w:basedOn w:val="broodtekst"/>
    <w:pPr>
      <w:tabs>
        <w:tab w:val="clear" w:pos="227"/>
        <w:tab w:val="clear" w:pos="454"/>
        <w:tab w:val="clear" w:pos="680"/>
        <w:tab w:val="left" w:pos="794"/>
      </w:tabs>
    </w:pPr>
  </w:style>
  <w:style w:type="character" w:styleId="Paginanummer">
    <w:name w:val="page number"/>
    <w:basedOn w:val="Standaardalinea-lettertype"/>
  </w:style>
  <w:style w:type="paragraph" w:customStyle="1" w:styleId="afzendkopje">
    <w:name w:val="afzendkopje"/>
    <w:basedOn w:val="broodtekst"/>
    <w:pPr>
      <w:spacing w:line="180" w:lineRule="atLeast"/>
    </w:pPr>
    <w:rPr>
      <w:b/>
      <w:sz w:val="13"/>
    </w:rPr>
  </w:style>
  <w:style w:type="paragraph" w:customStyle="1" w:styleId="afzendgegevens">
    <w:name w:val="afzendgegevens"/>
    <w:basedOn w:val="broodtekst"/>
    <w:pPr>
      <w:spacing w:line="180" w:lineRule="atLeast"/>
    </w:pPr>
    <w:rPr>
      <w:sz w:val="13"/>
    </w:rPr>
  </w:style>
  <w:style w:type="paragraph" w:customStyle="1" w:styleId="lijst-nummer1">
    <w:name w:val="lijst-nummer1"/>
    <w:basedOn w:val="broodtekst"/>
    <w:next w:val="broodtekst"/>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pPr>
      <w:spacing w:line="180" w:lineRule="atLeast"/>
    </w:pPr>
    <w:rPr>
      <w:sz w:val="13"/>
    </w:rPr>
  </w:style>
  <w:style w:type="paragraph" w:customStyle="1" w:styleId="referentiekopjes">
    <w:name w:val="referentiekopjes"/>
    <w:basedOn w:val="broodtekst"/>
    <w:next w:val="referentiegegevens"/>
    <w:pPr>
      <w:spacing w:line="180" w:lineRule="atLeast"/>
    </w:pPr>
    <w:rPr>
      <w:b/>
      <w:sz w:val="13"/>
    </w:rPr>
  </w:style>
  <w:style w:type="paragraph" w:customStyle="1" w:styleId="witregel2">
    <w:name w:val="witregel2"/>
    <w:basedOn w:val="broodtekst"/>
    <w:pPr>
      <w:spacing w:line="270" w:lineRule="atLeast"/>
    </w:pPr>
    <w:rPr>
      <w:sz w:val="2"/>
    </w:rPr>
  </w:style>
  <w:style w:type="paragraph" w:customStyle="1" w:styleId="clausule">
    <w:name w:val="clausule"/>
    <w:basedOn w:val="broodtekst"/>
    <w:pPr>
      <w:spacing w:line="180" w:lineRule="atLeast"/>
    </w:pPr>
    <w:rPr>
      <w:i/>
      <w:sz w:val="13"/>
    </w:rPr>
  </w:style>
  <w:style w:type="paragraph" w:customStyle="1" w:styleId="afzendgegevens-bold">
    <w:name w:val="afzendgegevens-bold"/>
    <w:basedOn w:val="afzendgegevens"/>
    <w:rPr>
      <w:b/>
    </w:rPr>
  </w:style>
  <w:style w:type="paragraph" w:customStyle="1" w:styleId="aanhef">
    <w:name w:val="aanhef"/>
    <w:basedOn w:val="broodtekst"/>
    <w:next w:val="broodtekst"/>
    <w:pPr>
      <w:spacing w:after="240"/>
    </w:pPr>
  </w:style>
  <w:style w:type="paragraph" w:customStyle="1" w:styleId="broodtekst-bold">
    <w:name w:val="broodtekst-bold"/>
    <w:basedOn w:val="broodtekst"/>
    <w:rPr>
      <w:b/>
    </w:rPr>
  </w:style>
  <w:style w:type="paragraph" w:customStyle="1" w:styleId="broodtekst-vet-pagebreak">
    <w:name w:val="broodtekst-vet-pagebreak"/>
    <w:basedOn w:val="broodtekst"/>
    <w:next w:val="broodtekst"/>
    <w:pPr>
      <w:pageBreakBefore/>
    </w:pPr>
    <w:rPr>
      <w:b/>
    </w:rPr>
  </w:style>
  <w:style w:type="paragraph" w:customStyle="1" w:styleId="broodtekst-12-vet">
    <w:name w:val="broodtekst-12-vet"/>
    <w:basedOn w:val="broodtekst"/>
    <w:rPr>
      <w:b/>
      <w:sz w:val="24"/>
    </w:rPr>
  </w:style>
  <w:style w:type="paragraph" w:customStyle="1" w:styleId="groetregel">
    <w:name w:val="groetregel"/>
    <w:basedOn w:val="broodtekst"/>
    <w:next w:val="broodtekst"/>
    <w:pPr>
      <w:spacing w:before="240"/>
    </w:pPr>
  </w:style>
  <w:style w:type="paragraph" w:customStyle="1" w:styleId="in-table">
    <w:name w:val="in-table"/>
    <w:basedOn w:val="broodtekst"/>
    <w:pPr>
      <w:spacing w:line="0" w:lineRule="atLeast"/>
    </w:pPr>
    <w:rPr>
      <w:sz w:val="2"/>
    </w:rPr>
  </w:style>
  <w:style w:type="character" w:customStyle="1" w:styleId="clausuleregel">
    <w:name w:val="clausuleregel"/>
    <w:basedOn w:val="Standaardalinea-lettertype"/>
    <w:rPr>
      <w:rFonts w:ascii="Verdana" w:hAnsi="Verdana"/>
      <w:i/>
      <w:position w:val="-9"/>
      <w:sz w:val="13"/>
    </w:rPr>
  </w:style>
  <w:style w:type="paragraph" w:customStyle="1" w:styleId="kop1justitie">
    <w:name w:val="kop1_justitie"/>
    <w:basedOn w:val="broodtekst"/>
    <w:next w:val="broodtekst"/>
    <w:pPr>
      <w:numPr>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30"/>
    </w:rPr>
  </w:style>
  <w:style w:type="paragraph" w:customStyle="1" w:styleId="kop2justitie">
    <w:name w:val="kop2_justitie"/>
    <w:basedOn w:val="broodtekst"/>
    <w:next w:val="broodtekst"/>
    <w:pPr>
      <w:numPr>
        <w:ilvl w:val="1"/>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kop3justitie">
    <w:name w:val="kop3_justitie"/>
    <w:basedOn w:val="broodtekst"/>
    <w:next w:val="broodtekst"/>
    <w:pPr>
      <w:numPr>
        <w:ilvl w:val="2"/>
        <w:numId w:val="17"/>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pacing w:before="240" w:after="60" w:line="300" w:lineRule="atLeast"/>
    </w:pPr>
    <w:rPr>
      <w:b/>
      <w:sz w:val="22"/>
    </w:rPr>
  </w:style>
  <w:style w:type="paragraph" w:customStyle="1" w:styleId="kop20">
    <w:name w:val="kop2"/>
    <w:basedOn w:val="Standaard"/>
  </w:style>
  <w:style w:type="paragraph" w:customStyle="1" w:styleId="kop30">
    <w:name w:val="kop3"/>
    <w:basedOn w:val="Standaard"/>
  </w:style>
  <w:style w:type="paragraph" w:customStyle="1" w:styleId="opsomming-streepjesjustitie">
    <w:name w:val="opsomming-streepjes_justitie"/>
    <w:basedOn w:val="broodtekst"/>
    <w:pPr>
      <w:numPr>
        <w:numId w:val="27"/>
      </w:numPr>
      <w:tabs>
        <w:tab w:val="clear" w:pos="227"/>
        <w:tab w:val="clear" w:pos="680"/>
        <w:tab w:val="left" w:pos="907"/>
        <w:tab w:val="left" w:pos="1361"/>
        <w:tab w:val="left" w:pos="1814"/>
        <w:tab w:val="left" w:pos="2268"/>
        <w:tab w:val="left" w:pos="2722"/>
        <w:tab w:val="left" w:pos="3175"/>
        <w:tab w:val="left" w:pos="3629"/>
        <w:tab w:val="left" w:pos="4082"/>
        <w:tab w:val="left" w:pos="4536"/>
      </w:tabs>
      <w:ind w:left="908" w:hanging="454"/>
    </w:pPr>
  </w:style>
  <w:style w:type="paragraph" w:customStyle="1" w:styleId="pagebreak">
    <w:name w:val="pagebreak"/>
    <w:basedOn w:val="broodtekst"/>
    <w:next w:val="broodtekst"/>
    <w:pPr>
      <w:pageBreakBefore/>
    </w:pPr>
  </w:style>
  <w:style w:type="paragraph" w:customStyle="1" w:styleId="pagebreak-vet">
    <w:name w:val="pagebreak-vet"/>
    <w:basedOn w:val="broodtekst-bold"/>
    <w:next w:val="broodtekst"/>
    <w:pPr>
      <w:pageBreakBefore/>
    </w:pPr>
  </w:style>
  <w:style w:type="paragraph" w:customStyle="1" w:styleId="windings">
    <w:name w:val="windings"/>
    <w:basedOn w:val="broodtekst"/>
    <w:next w:val="broodtekst"/>
    <w:rPr>
      <w:rFonts w:ascii="Wingdings 2" w:hAnsi="Wingdings 2"/>
    </w:rPr>
  </w:style>
  <w:style w:type="paragraph" w:customStyle="1" w:styleId="windings-vet">
    <w:name w:val="windings-vet"/>
    <w:basedOn w:val="windings"/>
    <w:rPr>
      <w:b/>
    </w:rPr>
  </w:style>
  <w:style w:type="paragraph" w:customStyle="1" w:styleId="ondertekenaar">
    <w:name w:val="ondertekenaar"/>
    <w:basedOn w:val="broodtekst"/>
  </w:style>
  <w:style w:type="paragraph" w:customStyle="1" w:styleId="broodtekst-i">
    <w:name w:val="broodtekst-i"/>
    <w:basedOn w:val="broodtekst"/>
    <w:rPr>
      <w:i/>
    </w:rPr>
  </w:style>
  <w:style w:type="paragraph" w:customStyle="1" w:styleId="broodtekst-bold-hf">
    <w:name w:val="broodtekst-bold-hf"/>
    <w:basedOn w:val="broodtekst"/>
    <w:rPr>
      <w:b/>
      <w:caps/>
    </w:rPr>
  </w:style>
  <w:style w:type="paragraph" w:customStyle="1" w:styleId="broodtekst-bold-hf-r">
    <w:name w:val="broodtekst-bold-hf-r"/>
    <w:basedOn w:val="broodtekst"/>
    <w:pPr>
      <w:jc w:val="right"/>
    </w:pPr>
    <w:rPr>
      <w:b/>
      <w:caps/>
    </w:rPr>
  </w:style>
  <w:style w:type="paragraph" w:customStyle="1" w:styleId="broodtekst-bold-i">
    <w:name w:val="broodtekst-bold-i"/>
    <w:basedOn w:val="broodtekst"/>
    <w:rPr>
      <w:b/>
      <w:i/>
    </w:rPr>
  </w:style>
  <w:style w:type="paragraph" w:customStyle="1" w:styleId="broodtekst-bold-hf-i">
    <w:name w:val="broodtekst-bold-hf-i"/>
    <w:basedOn w:val="broodtekst"/>
    <w:rPr>
      <w:b/>
      <w:i/>
      <w:caps/>
    </w:rPr>
  </w:style>
  <w:style w:type="paragraph" w:customStyle="1" w:styleId="broodtekst-bold-hf-c">
    <w:name w:val="broodtekst-bold-hf-c"/>
    <w:basedOn w:val="broodtekst"/>
    <w:pPr>
      <w:spacing w:after="240"/>
      <w:jc w:val="center"/>
    </w:pPr>
    <w:rPr>
      <w:b/>
      <w:caps/>
    </w:rPr>
  </w:style>
  <w:style w:type="paragraph" w:customStyle="1" w:styleId="doctypebold18justitie">
    <w:name w:val="doctype_bold18_justitie"/>
    <w:basedOn w:val="broodtekst"/>
    <w:pPr>
      <w:spacing w:line="480" w:lineRule="atLeast"/>
      <w:jc w:val="center"/>
    </w:pPr>
    <w:rPr>
      <w:b/>
      <w:sz w:val="36"/>
    </w:rPr>
  </w:style>
  <w:style w:type="paragraph" w:customStyle="1" w:styleId="broodtekst-hf8">
    <w:name w:val="broodtekst-hf8"/>
    <w:basedOn w:val="broodtekst"/>
    <w:rPr>
      <w:caps/>
      <w:sz w:val="16"/>
    </w:rPr>
  </w:style>
  <w:style w:type="paragraph" w:customStyle="1" w:styleId="bijlagenjustitie">
    <w:name w:val="bijlagen_justitie"/>
    <w:basedOn w:val="opsomming-bolletjesjustitie"/>
  </w:style>
  <w:style w:type="paragraph" w:customStyle="1" w:styleId="lijst-nummer">
    <w:name w:val="lijst-nummer"/>
    <w:basedOn w:val="opsomming-cijfersjustitie"/>
  </w:style>
  <w:style w:type="paragraph" w:customStyle="1" w:styleId="opsom2justitie">
    <w:name w:val="opsom2_justitie"/>
    <w:basedOn w:val="opsomming-streepjesjustitie"/>
  </w:style>
  <w:style w:type="paragraph" w:customStyle="1" w:styleId="Lijst-nummer0">
    <w:name w:val="Lijst-nummer"/>
    <w:basedOn w:val="opsomming-cijfersjustitie"/>
  </w:style>
  <w:style w:type="paragraph" w:customStyle="1" w:styleId="lijst-alphabet">
    <w:name w:val="lijst-alphabet"/>
    <w:basedOn w:val="broodtekst"/>
    <w:next w:val="broodtekst"/>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Pr>
      <w:position w:val="-9"/>
    </w:rPr>
  </w:style>
  <w:style w:type="paragraph" w:customStyle="1" w:styleId="Lijst-alphabet0">
    <w:name w:val="Lijst-alphabet"/>
    <w:basedOn w:val="lijst-alphabet"/>
    <w:next w:val="broodtekst"/>
  </w:style>
  <w:style w:type="paragraph" w:customStyle="1" w:styleId="opsomming-bullet">
    <w:name w:val="opsomming-bullet"/>
    <w:basedOn w:val="broodtekst"/>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pPr>
      <w:spacing w:before="25" w:after="25" w:line="130" w:lineRule="atLeast"/>
    </w:pPr>
    <w:rPr>
      <w:noProof/>
      <w:sz w:val="13"/>
      <w:lang w:eastAsia="en-US"/>
    </w:rPr>
  </w:style>
  <w:style w:type="character" w:customStyle="1" w:styleId="broodtekstChar">
    <w:name w:val="broodtekst Char"/>
    <w:basedOn w:val="Standaardalinea-lettertype"/>
    <w:rPr>
      <w:rFonts w:ascii="Verdana" w:hAnsi="Verdana"/>
      <w:sz w:val="18"/>
      <w:szCs w:val="18"/>
      <w:lang w:val="nl-NL" w:eastAsia="nl-NL" w:bidi="ar-SA"/>
    </w:rPr>
  </w:style>
  <w:style w:type="character" w:customStyle="1" w:styleId="witregel2Char">
    <w:name w:val="witregel2 Char"/>
    <w:basedOn w:val="broodtekstChar"/>
    <w:rPr>
      <w:rFonts w:ascii="Verdana" w:hAnsi="Verdana"/>
      <w:sz w:val="2"/>
      <w:szCs w:val="18"/>
      <w:lang w:val="nl-NL" w:eastAsia="nl-NL" w:bidi="ar-SA"/>
    </w:rPr>
  </w:style>
  <w:style w:type="paragraph" w:customStyle="1" w:styleId="afzendgegevens-italic">
    <w:name w:val="afzendgegevens-italic"/>
    <w:basedOn w:val="afzendgegevens"/>
    <w:rPr>
      <w:i/>
      <w:szCs w:val="13"/>
    </w:rPr>
  </w:style>
  <w:style w:type="character" w:customStyle="1" w:styleId="directieregel">
    <w:name w:val="directieregel"/>
    <w:basedOn w:val="Standaardalinea-lettertype"/>
    <w:rPr>
      <w:rFonts w:ascii="Verdana" w:hAnsi="Verdana"/>
      <w:b/>
      <w:position w:val="-9"/>
      <w:sz w:val="13"/>
    </w:rPr>
  </w:style>
  <w:style w:type="paragraph" w:customStyle="1" w:styleId="broodtekst-bold-italic">
    <w:name w:val="broodtekst-bold-italic"/>
    <w:basedOn w:val="broodtekst"/>
    <w:next w:val="broodtekst"/>
    <w:rPr>
      <w:b/>
      <w:i/>
    </w:rPr>
  </w:style>
  <w:style w:type="paragraph" w:customStyle="1" w:styleId="opsomming-lettersjustitie">
    <w:name w:val="opsomming-letters_justitie"/>
    <w:basedOn w:val="broodtekst"/>
    <w:pPr>
      <w:numPr>
        <w:numId w:val="26"/>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tabelkop">
    <w:name w:val="tabelkop"/>
    <w:basedOn w:val="broodtekst"/>
    <w:rPr>
      <w:b/>
      <w:sz w:val="14"/>
    </w:rPr>
  </w:style>
  <w:style w:type="paragraph" w:customStyle="1" w:styleId="tabeltekst">
    <w:name w:val="tabeltekst"/>
    <w:basedOn w:val="broodtekst"/>
    <w:rPr>
      <w:sz w:val="14"/>
    </w:rPr>
  </w:style>
  <w:style w:type="paragraph" w:customStyle="1" w:styleId="opsommingsvinkAan">
    <w:name w:val="opsommingsvink_Aan"/>
    <w:basedOn w:val="broodtekst"/>
    <w:pPr>
      <w:widowControl w:val="0"/>
      <w:numPr>
        <w:numId w:val="28"/>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opsommingsvinkUit">
    <w:name w:val="opsommingsvink_Uit"/>
    <w:basedOn w:val="broodtekst"/>
    <w:pPr>
      <w:widowControl w:val="0"/>
      <w:numPr>
        <w:numId w:val="2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styleId="Voetnoottekst">
    <w:name w:val="footnote text"/>
    <w:basedOn w:val="Standaard"/>
    <w:link w:val="VoetnoottekstChar"/>
    <w:uiPriority w:val="99"/>
    <w:semiHidden/>
    <w:rPr>
      <w:sz w:val="16"/>
      <w:szCs w:val="20"/>
    </w:rPr>
  </w:style>
  <w:style w:type="character" w:styleId="Voetnootmarkering">
    <w:name w:val="footnote reference"/>
    <w:basedOn w:val="Standaardalinea-lettertype"/>
    <w:uiPriority w:val="99"/>
    <w:semiHidden/>
    <w:rPr>
      <w:vertAlign w:val="superscript"/>
    </w:rPr>
  </w:style>
  <w:style w:type="paragraph" w:styleId="Normaalweb">
    <w:name w:val="Normal (Web)"/>
    <w:basedOn w:val="Standaard"/>
    <w:uiPriority w:val="99"/>
    <w:unhideWhenUsed/>
    <w:rsid w:val="00FF589D"/>
    <w:pPr>
      <w:spacing w:before="100" w:beforeAutospacing="1" w:after="100" w:afterAutospacing="1" w:line="240" w:lineRule="auto"/>
    </w:pPr>
    <w:rPr>
      <w:rFonts w:ascii="Times New Roman" w:hAnsi="Times New Roman"/>
      <w:sz w:val="24"/>
    </w:rPr>
  </w:style>
  <w:style w:type="character" w:customStyle="1" w:styleId="KoptekstChar">
    <w:name w:val="Koptekst Char"/>
    <w:basedOn w:val="Standaardalinea-lettertype"/>
    <w:link w:val="Koptekst"/>
    <w:uiPriority w:val="99"/>
    <w:rsid w:val="00FF589D"/>
    <w:rPr>
      <w:rFonts w:ascii="Verdana" w:hAnsi="Verdana"/>
      <w:sz w:val="18"/>
      <w:szCs w:val="18"/>
    </w:rPr>
  </w:style>
  <w:style w:type="character" w:customStyle="1" w:styleId="VoettekstChar">
    <w:name w:val="Voettekst Char"/>
    <w:basedOn w:val="Standaardalinea-lettertype"/>
    <w:link w:val="Voettekst"/>
    <w:uiPriority w:val="99"/>
    <w:rsid w:val="00FF589D"/>
    <w:rPr>
      <w:rFonts w:ascii="Verdana" w:hAnsi="Verdana"/>
      <w:sz w:val="18"/>
      <w:szCs w:val="18"/>
    </w:rPr>
  </w:style>
  <w:style w:type="character" w:customStyle="1" w:styleId="VoetnoottekstChar">
    <w:name w:val="Voetnoottekst Char"/>
    <w:basedOn w:val="Standaardalinea-lettertype"/>
    <w:link w:val="Voetnoottekst"/>
    <w:uiPriority w:val="99"/>
    <w:semiHidden/>
    <w:rsid w:val="00FF589D"/>
    <w:rPr>
      <w:rFonts w:ascii="Verdana" w:hAnsi="Verdana"/>
      <w:sz w:val="16"/>
    </w:rPr>
  </w:style>
  <w:style w:type="paragraph" w:styleId="Ballontekst">
    <w:name w:val="Balloon Text"/>
    <w:basedOn w:val="Standaard"/>
    <w:link w:val="BallontekstChar"/>
    <w:rsid w:val="00BE5F9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E5F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zuurmon\AppData\Roaming\B-ware\DocSys.Web\profiles\minjus\client\folders\wij_willem-alexand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6F533-C47A-4793-AC5E-AFAF68532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wij_willem-alexander</Template>
  <TotalTime>1</TotalTime>
  <Pages>13</Pages>
  <Words>3978</Words>
  <Characters>23218</Characters>
  <Application>Microsoft Office Word</Application>
  <DocSecurity>0</DocSecurity>
  <Lines>193</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Veiligheid en Justitie</Company>
  <LinksUpToDate>false</LinksUpToDate>
  <CharactersWithSpaces>27142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Zuurmond, J.C.M. - BD/DWJZ/SSR</dc:creator>
  <cp:lastModifiedBy>Jap Tjoen San, mw.</cp:lastModifiedBy>
  <cp:revision>3</cp:revision>
  <cp:lastPrinted>2014-06-04T08:34:00Z</cp:lastPrinted>
  <dcterms:created xsi:type="dcterms:W3CDTF">2014-06-04T08:34:00Z</dcterms:created>
  <dcterms:modified xsi:type="dcterms:W3CDTF">2014-06-04T08:34:00Z</dcterms:modified>
  <cp:category>Wij Willem Alexander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doc">
    <vt:lpwstr>companydoc</vt:lpwstr>
  </property>
  <property fmtid="{D5CDD505-2E9C-101B-9397-08002B2CF9AE}" pid="3" name="LogoDenyAt_logogroot">
    <vt:lpwstr>2-</vt:lpwstr>
  </property>
  <property fmtid="{D5CDD505-2E9C-101B-9397-08002B2CF9AE}" pid="4" name="LogoDenyAt_logoklein">
    <vt:lpwstr>0-</vt:lpwstr>
  </property>
  <property fmtid="{D5CDD505-2E9C-101B-9397-08002B2CF9AE}" pid="5" name="taal">
    <vt:lpwstr>taal</vt:lpwstr>
  </property>
  <property fmtid="{D5CDD505-2E9C-101B-9397-08002B2CF9AE}" pid="6" name="savename">
    <vt:lpwstr>savename</vt:lpwstr>
  </property>
  <property fmtid="{D5CDD505-2E9C-101B-9397-08002B2CF9AE}" pid="7" name="afdelingraised">
    <vt:lpwstr> </vt:lpwstr>
  </property>
  <property fmtid="{D5CDD505-2E9C-101B-9397-08002B2CF9AE}" pid="8" name="onskenmerk">
    <vt:lpwstr>onskenmerk</vt:lpwstr>
  </property>
</Properties>
</file>