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798" w:rsidRPr="00AE53E6" w:rsidRDefault="00C64798" w:rsidP="00C64798">
      <w:pPr>
        <w:pStyle w:val="Tekstzonderopmaak"/>
        <w:ind w:right="72"/>
        <w:rPr>
          <w:rFonts w:ascii="Verdana" w:eastAsia="MS Mincho" w:hAnsi="Verdana"/>
          <w:b/>
        </w:rPr>
      </w:pPr>
      <w:bookmarkStart w:id="0" w:name="_GoBack"/>
      <w:r w:rsidRPr="00AE53E6">
        <w:rPr>
          <w:rFonts w:ascii="Verdana" w:eastAsia="MS Mincho" w:hAnsi="Verdana"/>
          <w:b/>
        </w:rPr>
        <w:t>Wijziging van de</w:t>
      </w:r>
      <w:r w:rsidR="006C11D7" w:rsidRPr="00AE53E6">
        <w:rPr>
          <w:rFonts w:ascii="Verdana" w:eastAsia="MS Mincho" w:hAnsi="Verdana"/>
          <w:b/>
        </w:rPr>
        <w:t xml:space="preserve"> Politiewet 201</w:t>
      </w:r>
      <w:r w:rsidR="00E94FDD" w:rsidRPr="00AE53E6">
        <w:rPr>
          <w:rFonts w:ascii="Verdana" w:eastAsia="MS Mincho" w:hAnsi="Verdana"/>
          <w:b/>
        </w:rPr>
        <w:t>2 (onderzoek in lichaam</w:t>
      </w:r>
      <w:r w:rsidRPr="00AE53E6">
        <w:rPr>
          <w:rFonts w:ascii="Verdana" w:eastAsia="MS Mincho" w:hAnsi="Verdana"/>
          <w:b/>
        </w:rPr>
        <w:t>)</w:t>
      </w:r>
      <w:r w:rsidR="00D21E75">
        <w:rPr>
          <w:rFonts w:ascii="Verdana" w:eastAsia="MS Mincho" w:hAnsi="Verdana"/>
          <w:b/>
        </w:rPr>
        <w:t>.</w:t>
      </w:r>
    </w:p>
    <w:bookmarkEnd w:id="0"/>
    <w:p w:rsidR="00C64798" w:rsidRDefault="00C64798" w:rsidP="00C64798">
      <w:pPr>
        <w:pStyle w:val="Tekstzonderopmaak"/>
        <w:ind w:right="72"/>
        <w:rPr>
          <w:rFonts w:ascii="Verdana" w:eastAsia="MS Mincho" w:hAnsi="Verdana"/>
          <w:b/>
        </w:rPr>
      </w:pPr>
    </w:p>
    <w:p w:rsidR="00933D97" w:rsidRPr="00AE53E6" w:rsidRDefault="00933D97" w:rsidP="00C64798">
      <w:pPr>
        <w:pStyle w:val="Tekstzonderopmaak"/>
        <w:ind w:right="72"/>
        <w:rPr>
          <w:rFonts w:ascii="Verdana" w:eastAsia="MS Mincho" w:hAnsi="Verdana"/>
          <w:b/>
        </w:rPr>
      </w:pPr>
    </w:p>
    <w:p w:rsidR="00C64798" w:rsidRPr="00AE53E6" w:rsidRDefault="00C64798" w:rsidP="00C64798">
      <w:pPr>
        <w:pStyle w:val="Tekstzonderopmaak"/>
        <w:ind w:right="72"/>
        <w:rPr>
          <w:rFonts w:ascii="Verdana" w:eastAsia="MS Mincho" w:hAnsi="Verdana"/>
          <w:b/>
          <w:smallCaps/>
        </w:rPr>
      </w:pPr>
      <w:r w:rsidRPr="00AE53E6">
        <w:rPr>
          <w:rFonts w:ascii="Verdana" w:eastAsia="MS Mincho" w:hAnsi="Verdana"/>
          <w:b/>
          <w:smallCaps/>
        </w:rPr>
        <w:t>Voorstel van wet</w:t>
      </w:r>
    </w:p>
    <w:p w:rsidR="00C64798" w:rsidRDefault="00C64798" w:rsidP="00C64798">
      <w:pPr>
        <w:pStyle w:val="Tekstzonderopmaak"/>
        <w:ind w:right="72"/>
        <w:rPr>
          <w:rFonts w:ascii="Verdana" w:eastAsia="MS Mincho" w:hAnsi="Verdana"/>
          <w:b/>
          <w:smallCaps/>
        </w:rPr>
      </w:pPr>
    </w:p>
    <w:p w:rsidR="00933D97" w:rsidRPr="00AE53E6" w:rsidRDefault="00933D97" w:rsidP="00C64798">
      <w:pPr>
        <w:pStyle w:val="Tekstzonderopmaak"/>
        <w:ind w:right="72"/>
        <w:rPr>
          <w:rFonts w:ascii="Verdana" w:eastAsia="MS Mincho" w:hAnsi="Verdana"/>
          <w:b/>
          <w:smallCaps/>
        </w:rPr>
      </w:pPr>
    </w:p>
    <w:p w:rsidR="00C64798" w:rsidRPr="00AE53E6" w:rsidRDefault="00C64798" w:rsidP="00C64798">
      <w:pPr>
        <w:pStyle w:val="Tekstzonderopmaak"/>
        <w:ind w:right="72"/>
        <w:rPr>
          <w:rFonts w:ascii="Verdana" w:eastAsia="MS Mincho" w:hAnsi="Verdana"/>
        </w:rPr>
      </w:pPr>
      <w:r w:rsidRPr="00AE53E6">
        <w:rPr>
          <w:rFonts w:ascii="Verdana" w:eastAsia="MS Mincho" w:hAnsi="Verdana"/>
        </w:rPr>
        <w:t xml:space="preserve">Wij </w:t>
      </w:r>
      <w:r w:rsidR="00126226" w:rsidRPr="00AE53E6">
        <w:rPr>
          <w:rFonts w:ascii="Verdana" w:eastAsia="MS Mincho" w:hAnsi="Verdana"/>
        </w:rPr>
        <w:t>Willem-Alexander</w:t>
      </w:r>
      <w:r w:rsidRPr="00AE53E6">
        <w:rPr>
          <w:rFonts w:ascii="Verdana" w:eastAsia="MS Mincho" w:hAnsi="Verdana"/>
        </w:rPr>
        <w:t>, bij de gratie Gods, Koning der Nederlanden, Prins van Oranje-Nassau, enz. enz. enz.</w:t>
      </w:r>
    </w:p>
    <w:p w:rsidR="00C64798" w:rsidRPr="00AE53E6" w:rsidRDefault="00C64798" w:rsidP="00C64798">
      <w:pPr>
        <w:pStyle w:val="Tekstzonderopmaak"/>
        <w:ind w:right="72"/>
        <w:rPr>
          <w:rFonts w:ascii="Verdana" w:eastAsia="MS Mincho" w:hAnsi="Verdana"/>
        </w:rPr>
      </w:pPr>
      <w:r w:rsidRPr="00AE53E6">
        <w:rPr>
          <w:rFonts w:ascii="Verdana" w:eastAsia="MS Mincho" w:hAnsi="Verdana"/>
        </w:rPr>
        <w:t xml:space="preserve">Allen, die deze zullen zien of horen lezen, saluut! </w:t>
      </w:r>
      <w:proofErr w:type="gramStart"/>
      <w:r w:rsidRPr="00AE53E6">
        <w:rPr>
          <w:rFonts w:ascii="Verdana" w:eastAsia="MS Mincho" w:hAnsi="Verdana"/>
        </w:rPr>
        <w:t>doen</w:t>
      </w:r>
      <w:proofErr w:type="gramEnd"/>
      <w:r w:rsidRPr="00AE53E6">
        <w:rPr>
          <w:rFonts w:ascii="Verdana" w:eastAsia="MS Mincho" w:hAnsi="Verdana"/>
        </w:rPr>
        <w:t xml:space="preserve"> te weten:</w:t>
      </w:r>
    </w:p>
    <w:p w:rsidR="00C64798" w:rsidRPr="00AE53E6" w:rsidRDefault="00C64798" w:rsidP="00C64798">
      <w:pPr>
        <w:pStyle w:val="Tekstzonderopmaak"/>
        <w:ind w:right="72"/>
        <w:rPr>
          <w:rFonts w:ascii="Verdana" w:eastAsia="MS Mincho" w:hAnsi="Verdana"/>
        </w:rPr>
      </w:pPr>
      <w:proofErr w:type="gramStart"/>
      <w:r w:rsidRPr="00AE53E6">
        <w:rPr>
          <w:rFonts w:ascii="Verdana" w:eastAsia="MS Mincho" w:hAnsi="Verdana"/>
        </w:rPr>
        <w:t>Alzo</w:t>
      </w:r>
      <w:proofErr w:type="gramEnd"/>
      <w:r w:rsidRPr="00AE53E6">
        <w:rPr>
          <w:rFonts w:ascii="Verdana" w:eastAsia="MS Mincho" w:hAnsi="Verdana"/>
        </w:rPr>
        <w:t xml:space="preserve"> Wij in overweging genomen hebben, dat het</w:t>
      </w:r>
      <w:r w:rsidR="00EC6EEE" w:rsidRPr="00AE53E6">
        <w:rPr>
          <w:rFonts w:ascii="Verdana" w:eastAsia="MS Mincho" w:hAnsi="Verdana"/>
        </w:rPr>
        <w:t xml:space="preserve"> wenselijk is </w:t>
      </w:r>
      <w:r w:rsidR="00625F14" w:rsidRPr="00AE53E6">
        <w:rPr>
          <w:rFonts w:ascii="Verdana" w:eastAsia="MS Mincho" w:hAnsi="Verdana"/>
        </w:rPr>
        <w:t xml:space="preserve">om de beslissing </w:t>
      </w:r>
      <w:r w:rsidR="00064216" w:rsidRPr="00AE53E6">
        <w:rPr>
          <w:rFonts w:ascii="Verdana" w:eastAsia="MS Mincho" w:hAnsi="Verdana"/>
        </w:rPr>
        <w:t>over</w:t>
      </w:r>
      <w:r w:rsidR="00625F14" w:rsidRPr="00AE53E6">
        <w:rPr>
          <w:rFonts w:ascii="Verdana" w:eastAsia="MS Mincho" w:hAnsi="Verdana"/>
        </w:rPr>
        <w:t xml:space="preserve"> een onderzoek in het lichaam van </w:t>
      </w:r>
      <w:r w:rsidR="0000762F" w:rsidRPr="00AE53E6">
        <w:rPr>
          <w:rFonts w:ascii="Verdana" w:eastAsia="MS Mincho" w:hAnsi="Verdana"/>
        </w:rPr>
        <w:t xml:space="preserve">degene die wordt of is </w:t>
      </w:r>
      <w:r w:rsidR="00625F14" w:rsidRPr="00AE53E6">
        <w:rPr>
          <w:rFonts w:ascii="Verdana" w:eastAsia="MS Mincho" w:hAnsi="Verdana"/>
        </w:rPr>
        <w:t>ingesloten</w:t>
      </w:r>
      <w:r w:rsidR="0000762F" w:rsidRPr="00AE53E6">
        <w:rPr>
          <w:rFonts w:ascii="Verdana" w:eastAsia="MS Mincho" w:hAnsi="Verdana"/>
        </w:rPr>
        <w:t xml:space="preserve"> </w:t>
      </w:r>
      <w:r w:rsidR="00625F14" w:rsidRPr="00AE53E6">
        <w:rPr>
          <w:rFonts w:ascii="Verdana" w:eastAsia="MS Mincho" w:hAnsi="Verdana"/>
        </w:rPr>
        <w:t>in een politiecel</w:t>
      </w:r>
      <w:r w:rsidR="0000762F" w:rsidRPr="00AE53E6">
        <w:rPr>
          <w:rFonts w:ascii="Verdana" w:eastAsia="MS Mincho" w:hAnsi="Verdana"/>
        </w:rPr>
        <w:t>,</w:t>
      </w:r>
      <w:r w:rsidR="00625F14" w:rsidRPr="00AE53E6">
        <w:rPr>
          <w:rFonts w:ascii="Verdana" w:eastAsia="MS Mincho" w:hAnsi="Verdana"/>
        </w:rPr>
        <w:t xml:space="preserve"> in handen te leggen van de officier van justitie</w:t>
      </w:r>
      <w:r w:rsidR="00531153" w:rsidRPr="00AE53E6">
        <w:rPr>
          <w:rFonts w:ascii="Verdana" w:eastAsia="MS Mincho" w:hAnsi="Verdana"/>
        </w:rPr>
        <w:t>;</w:t>
      </w:r>
    </w:p>
    <w:p w:rsidR="00C64798" w:rsidRPr="00AE53E6" w:rsidRDefault="00C64798" w:rsidP="00C64798">
      <w:pPr>
        <w:pStyle w:val="Tekstzonderopmaak"/>
        <w:ind w:right="72"/>
        <w:rPr>
          <w:rFonts w:ascii="Verdana" w:eastAsia="MS Mincho" w:hAnsi="Verdana"/>
        </w:rPr>
      </w:pPr>
      <w:r w:rsidRPr="00AE53E6">
        <w:rPr>
          <w:rFonts w:ascii="Verdana" w:eastAsia="MS Mincho" w:hAnsi="Verdana"/>
        </w:rPr>
        <w:t xml:space="preserve">Zo is het, dat Wij, de </w:t>
      </w:r>
      <w:r w:rsidR="0062308B" w:rsidRPr="00AE53E6">
        <w:rPr>
          <w:rFonts w:ascii="Verdana" w:eastAsia="MS Mincho" w:hAnsi="Verdana"/>
        </w:rPr>
        <w:t xml:space="preserve">Afdeling advisering van de </w:t>
      </w:r>
      <w:r w:rsidRPr="00AE53E6">
        <w:rPr>
          <w:rFonts w:ascii="Verdana" w:eastAsia="MS Mincho" w:hAnsi="Verdana"/>
        </w:rPr>
        <w:t xml:space="preserve">Raad van State gehoord, en met gemeen overleg der Staten-Generaal, hebben goedgevonden en verstaan, </w:t>
      </w:r>
      <w:proofErr w:type="gramStart"/>
      <w:r w:rsidRPr="00AE53E6">
        <w:rPr>
          <w:rFonts w:ascii="Verdana" w:eastAsia="MS Mincho" w:hAnsi="Verdana"/>
        </w:rPr>
        <w:t>gelijk</w:t>
      </w:r>
      <w:proofErr w:type="gramEnd"/>
      <w:r w:rsidRPr="00AE53E6">
        <w:rPr>
          <w:rFonts w:ascii="Verdana" w:eastAsia="MS Mincho" w:hAnsi="Verdana"/>
        </w:rPr>
        <w:t xml:space="preserve"> Wij goedvinden en verstaan bij deze:</w:t>
      </w:r>
    </w:p>
    <w:p w:rsidR="00C64798" w:rsidRPr="00AE53E6" w:rsidRDefault="00C64798" w:rsidP="00C64798">
      <w:pPr>
        <w:pStyle w:val="Tekstzonderopmaak"/>
        <w:ind w:right="72"/>
        <w:rPr>
          <w:rFonts w:ascii="Verdana" w:eastAsia="MS Mincho" w:hAnsi="Verdana"/>
        </w:rPr>
      </w:pPr>
    </w:p>
    <w:p w:rsidR="00160344" w:rsidRPr="00AE53E6" w:rsidRDefault="00CB314F">
      <w:pPr>
        <w:rPr>
          <w:rFonts w:ascii="Verdana" w:hAnsi="Verdana"/>
          <w:sz w:val="20"/>
          <w:szCs w:val="20"/>
        </w:rPr>
      </w:pPr>
      <w:r w:rsidRPr="00AE53E6">
        <w:rPr>
          <w:rFonts w:ascii="Verdana" w:hAnsi="Verdana"/>
          <w:b/>
          <w:sz w:val="20"/>
          <w:szCs w:val="20"/>
        </w:rPr>
        <w:t>Artikel I</w:t>
      </w:r>
    </w:p>
    <w:p w:rsidR="00CB314F" w:rsidRPr="00AE53E6" w:rsidRDefault="00CB314F">
      <w:pPr>
        <w:rPr>
          <w:rFonts w:ascii="Verdana" w:hAnsi="Verdana"/>
          <w:sz w:val="20"/>
          <w:szCs w:val="20"/>
        </w:rPr>
      </w:pPr>
    </w:p>
    <w:p w:rsidR="00CB314F" w:rsidRPr="00AE53E6" w:rsidRDefault="00625F14" w:rsidP="00CB314F">
      <w:pPr>
        <w:rPr>
          <w:rFonts w:ascii="Verdana" w:hAnsi="Verdana"/>
          <w:sz w:val="20"/>
          <w:szCs w:val="20"/>
        </w:rPr>
      </w:pPr>
      <w:r w:rsidRPr="00AE53E6">
        <w:rPr>
          <w:rFonts w:ascii="Verdana" w:hAnsi="Verdana"/>
          <w:sz w:val="20"/>
          <w:szCs w:val="20"/>
        </w:rPr>
        <w:t>A</w:t>
      </w:r>
      <w:r w:rsidR="00EC6EEE" w:rsidRPr="00AE53E6">
        <w:rPr>
          <w:rFonts w:ascii="Verdana" w:hAnsi="Verdana"/>
          <w:sz w:val="20"/>
          <w:szCs w:val="20"/>
        </w:rPr>
        <w:t>rtikel 7, zesde lid, van d</w:t>
      </w:r>
      <w:r w:rsidR="00CB314F" w:rsidRPr="00AE53E6">
        <w:rPr>
          <w:rFonts w:ascii="Verdana" w:hAnsi="Verdana"/>
          <w:sz w:val="20"/>
          <w:szCs w:val="20"/>
        </w:rPr>
        <w:t>e Politiewet 201</w:t>
      </w:r>
      <w:r w:rsidR="00EC6EEE" w:rsidRPr="00AE53E6">
        <w:rPr>
          <w:rFonts w:ascii="Verdana" w:hAnsi="Verdana"/>
          <w:sz w:val="20"/>
          <w:szCs w:val="20"/>
        </w:rPr>
        <w:t>2</w:t>
      </w:r>
      <w:r w:rsidR="00CB314F" w:rsidRPr="00AE53E6">
        <w:rPr>
          <w:rFonts w:ascii="Verdana" w:hAnsi="Verdana"/>
          <w:sz w:val="20"/>
          <w:szCs w:val="20"/>
        </w:rPr>
        <w:t xml:space="preserve"> </w:t>
      </w:r>
      <w:r w:rsidRPr="00AE53E6">
        <w:rPr>
          <w:rFonts w:ascii="Verdana" w:hAnsi="Verdana"/>
          <w:sz w:val="20"/>
          <w:szCs w:val="20"/>
        </w:rPr>
        <w:t>komt te luiden:</w:t>
      </w:r>
    </w:p>
    <w:p w:rsidR="00CB314F" w:rsidRPr="00AE53E6" w:rsidRDefault="00CB314F" w:rsidP="00CB314F">
      <w:pPr>
        <w:rPr>
          <w:rFonts w:ascii="Verdana" w:hAnsi="Verdana"/>
          <w:sz w:val="20"/>
          <w:szCs w:val="20"/>
        </w:rPr>
      </w:pPr>
    </w:p>
    <w:p w:rsidR="00D83C00" w:rsidRPr="00AE53E6" w:rsidRDefault="00E86EA7" w:rsidP="0000762F">
      <w:pPr>
        <w:rPr>
          <w:rFonts w:ascii="Verdana" w:hAnsi="Verdana"/>
          <w:sz w:val="20"/>
          <w:szCs w:val="20"/>
        </w:rPr>
      </w:pPr>
      <w:r w:rsidRPr="00AE53E6">
        <w:rPr>
          <w:rFonts w:ascii="Verdana" w:hAnsi="Verdana"/>
          <w:sz w:val="20"/>
          <w:szCs w:val="20"/>
        </w:rPr>
        <w:t>6.</w:t>
      </w:r>
      <w:r w:rsidR="002E56DA" w:rsidRPr="00AE53E6">
        <w:rPr>
          <w:rFonts w:ascii="Verdana" w:hAnsi="Verdana"/>
          <w:sz w:val="20"/>
          <w:szCs w:val="20"/>
        </w:rPr>
        <w:t xml:space="preserve"> </w:t>
      </w:r>
      <w:r w:rsidR="00625F14" w:rsidRPr="00AE53E6">
        <w:rPr>
          <w:rFonts w:ascii="Verdana" w:hAnsi="Verdana"/>
          <w:sz w:val="20"/>
          <w:szCs w:val="20"/>
        </w:rPr>
        <w:t>De officier van justitie</w:t>
      </w:r>
      <w:r w:rsidRPr="00AE53E6">
        <w:rPr>
          <w:rFonts w:ascii="Verdana" w:hAnsi="Verdana"/>
          <w:sz w:val="20"/>
          <w:szCs w:val="20"/>
        </w:rPr>
        <w:t xml:space="preserve"> kan bepalen dat een in te sluiten of ingesloten persoon in het lichaam wordt onderzocht, indien dit noodzakelijk is ter afwending van ernstig gevaar voor de handhaving van de orde of de veiligheid in het </w:t>
      </w:r>
      <w:r w:rsidR="00146049" w:rsidRPr="00AE53E6">
        <w:rPr>
          <w:rFonts w:ascii="Verdana" w:hAnsi="Verdana"/>
          <w:sz w:val="20"/>
          <w:szCs w:val="20"/>
        </w:rPr>
        <w:t xml:space="preserve">politiebureau of het </w:t>
      </w:r>
      <w:r w:rsidRPr="00AE53E6">
        <w:rPr>
          <w:rFonts w:ascii="Verdana" w:hAnsi="Verdana"/>
          <w:sz w:val="20"/>
          <w:szCs w:val="20"/>
        </w:rPr>
        <w:t xml:space="preserve">cellencomplex dan wel voor de gezondheid van de ingeslotene. </w:t>
      </w:r>
      <w:r w:rsidR="00625F14" w:rsidRPr="00AE53E6">
        <w:rPr>
          <w:rFonts w:ascii="Verdana" w:hAnsi="Verdana"/>
          <w:sz w:val="20"/>
          <w:szCs w:val="20"/>
        </w:rPr>
        <w:t>Het onderzoek</w:t>
      </w:r>
      <w:r w:rsidR="00B03CB0" w:rsidRPr="00AE53E6">
        <w:rPr>
          <w:rFonts w:ascii="Verdana" w:hAnsi="Verdana"/>
          <w:sz w:val="20"/>
          <w:szCs w:val="20"/>
        </w:rPr>
        <w:t xml:space="preserve"> in het lichaam</w:t>
      </w:r>
      <w:r w:rsidR="00625F14" w:rsidRPr="00AE53E6">
        <w:rPr>
          <w:rFonts w:ascii="Verdana" w:hAnsi="Verdana"/>
          <w:sz w:val="20"/>
          <w:szCs w:val="20"/>
        </w:rPr>
        <w:t xml:space="preserve"> wordt verricht door een arts of, in diens opdracht, door een verpleegkundige. </w:t>
      </w:r>
      <w:r w:rsidRPr="00AE53E6">
        <w:rPr>
          <w:rFonts w:ascii="Verdana" w:hAnsi="Verdana"/>
          <w:sz w:val="20"/>
          <w:szCs w:val="20"/>
        </w:rPr>
        <w:t>Artikel 31, derde lid, van de Penitentiaire beginselenwet is van overeenkomstige toepassing.</w:t>
      </w:r>
    </w:p>
    <w:p w:rsidR="00CB314F" w:rsidRPr="00AE53E6" w:rsidRDefault="00CB314F" w:rsidP="00CB314F">
      <w:pPr>
        <w:rPr>
          <w:rFonts w:ascii="Verdana" w:hAnsi="Verdana"/>
          <w:sz w:val="20"/>
          <w:szCs w:val="20"/>
        </w:rPr>
      </w:pPr>
    </w:p>
    <w:p w:rsidR="00CB314F" w:rsidRPr="00AE53E6" w:rsidRDefault="00CB314F" w:rsidP="00CB314F">
      <w:pPr>
        <w:rPr>
          <w:rFonts w:ascii="Verdana" w:hAnsi="Verdana"/>
          <w:sz w:val="20"/>
          <w:szCs w:val="20"/>
        </w:rPr>
      </w:pPr>
      <w:r w:rsidRPr="00AE53E6">
        <w:rPr>
          <w:rFonts w:ascii="Verdana" w:hAnsi="Verdana"/>
          <w:b/>
          <w:sz w:val="20"/>
          <w:szCs w:val="20"/>
        </w:rPr>
        <w:t>Artikel I</w:t>
      </w:r>
      <w:r w:rsidR="00EC6EEE" w:rsidRPr="00AE53E6">
        <w:rPr>
          <w:rFonts w:ascii="Verdana" w:hAnsi="Verdana"/>
          <w:b/>
          <w:sz w:val="20"/>
          <w:szCs w:val="20"/>
        </w:rPr>
        <w:t>I</w:t>
      </w:r>
    </w:p>
    <w:p w:rsidR="00CB314F" w:rsidRPr="00AE53E6" w:rsidRDefault="00CB314F" w:rsidP="00CB314F">
      <w:pPr>
        <w:rPr>
          <w:rFonts w:ascii="Verdana" w:hAnsi="Verdana"/>
          <w:sz w:val="20"/>
          <w:szCs w:val="20"/>
        </w:rPr>
      </w:pPr>
    </w:p>
    <w:p w:rsidR="00CB314F" w:rsidRPr="00AE53E6" w:rsidRDefault="00EC6EEE">
      <w:pPr>
        <w:rPr>
          <w:rFonts w:ascii="Verdana" w:hAnsi="Verdana"/>
          <w:sz w:val="20"/>
          <w:szCs w:val="20"/>
        </w:rPr>
      </w:pPr>
      <w:r w:rsidRPr="00AE53E6">
        <w:rPr>
          <w:rFonts w:ascii="Verdana" w:hAnsi="Verdana"/>
          <w:sz w:val="20"/>
          <w:szCs w:val="20"/>
        </w:rPr>
        <w:t>D</w:t>
      </w:r>
      <w:r w:rsidR="00D30757" w:rsidRPr="00AE53E6">
        <w:rPr>
          <w:rFonts w:ascii="Verdana" w:hAnsi="Verdana"/>
          <w:sz w:val="20"/>
          <w:szCs w:val="20"/>
        </w:rPr>
        <w:t>eze wet tre</w:t>
      </w:r>
      <w:r w:rsidRPr="00AE53E6">
        <w:rPr>
          <w:rFonts w:ascii="Verdana" w:hAnsi="Verdana"/>
          <w:sz w:val="20"/>
          <w:szCs w:val="20"/>
        </w:rPr>
        <w:t>e</w:t>
      </w:r>
      <w:r w:rsidR="00D30757" w:rsidRPr="00AE53E6">
        <w:rPr>
          <w:rFonts w:ascii="Verdana" w:hAnsi="Verdana"/>
          <w:sz w:val="20"/>
          <w:szCs w:val="20"/>
        </w:rPr>
        <w:t>d</w:t>
      </w:r>
      <w:r w:rsidRPr="00AE53E6">
        <w:rPr>
          <w:rFonts w:ascii="Verdana" w:hAnsi="Verdana"/>
          <w:sz w:val="20"/>
          <w:szCs w:val="20"/>
        </w:rPr>
        <w:t>t</w:t>
      </w:r>
      <w:r w:rsidR="00D30757" w:rsidRPr="00AE53E6">
        <w:rPr>
          <w:rFonts w:ascii="Verdana" w:hAnsi="Verdana"/>
          <w:sz w:val="20"/>
          <w:szCs w:val="20"/>
        </w:rPr>
        <w:t xml:space="preserve"> in werking op een bij koninklijk besluit te bepalen tijdstip.</w:t>
      </w:r>
    </w:p>
    <w:p w:rsidR="00D30757" w:rsidRPr="00AE53E6" w:rsidRDefault="00D30757">
      <w:pPr>
        <w:rPr>
          <w:rFonts w:ascii="Verdana" w:hAnsi="Verdana"/>
          <w:sz w:val="20"/>
          <w:szCs w:val="20"/>
        </w:rPr>
      </w:pPr>
    </w:p>
    <w:p w:rsidR="00D30757" w:rsidRPr="00AE53E6" w:rsidRDefault="00D30757">
      <w:pPr>
        <w:rPr>
          <w:rFonts w:ascii="Verdana" w:hAnsi="Verdana"/>
          <w:sz w:val="20"/>
          <w:szCs w:val="20"/>
        </w:rPr>
      </w:pPr>
    </w:p>
    <w:p w:rsidR="00D30757" w:rsidRPr="00AE53E6" w:rsidRDefault="00D30757" w:rsidP="00D30757">
      <w:pPr>
        <w:rPr>
          <w:rFonts w:ascii="Verdana" w:hAnsi="Verdana"/>
          <w:sz w:val="20"/>
          <w:szCs w:val="20"/>
        </w:rPr>
      </w:pPr>
      <w:r w:rsidRPr="00AE53E6">
        <w:rPr>
          <w:rFonts w:ascii="Verdana" w:hAnsi="Verdana"/>
          <w:sz w:val="20"/>
          <w:szCs w:val="20"/>
        </w:rPr>
        <w:t xml:space="preserve">Lasten en bevelen dat deze in het Staatsblad zal worden geplaatst en dat alle ministeries, autoriteiten, colleges en ambtenaren wie zulks aangaat, aan de nauwkeurige uitvoering de hand zullen houden. </w:t>
      </w:r>
    </w:p>
    <w:p w:rsidR="00D30757" w:rsidRPr="00AE53E6" w:rsidRDefault="00D30757" w:rsidP="00D30757">
      <w:pPr>
        <w:rPr>
          <w:rFonts w:ascii="Verdana" w:hAnsi="Verdana"/>
          <w:sz w:val="20"/>
          <w:szCs w:val="20"/>
        </w:rPr>
      </w:pPr>
    </w:p>
    <w:p w:rsidR="00D30757" w:rsidRPr="00AE53E6" w:rsidRDefault="00D30757" w:rsidP="00D30757">
      <w:pPr>
        <w:rPr>
          <w:rFonts w:ascii="Verdana" w:hAnsi="Verdana"/>
          <w:sz w:val="20"/>
          <w:szCs w:val="20"/>
        </w:rPr>
      </w:pPr>
    </w:p>
    <w:p w:rsidR="00D30757" w:rsidRPr="00AE53E6" w:rsidRDefault="00D30757" w:rsidP="00D30757">
      <w:pPr>
        <w:rPr>
          <w:rFonts w:ascii="Verdana" w:hAnsi="Verdana"/>
          <w:sz w:val="20"/>
          <w:szCs w:val="20"/>
        </w:rPr>
      </w:pPr>
      <w:r w:rsidRPr="00AE53E6">
        <w:rPr>
          <w:rFonts w:ascii="Verdana" w:hAnsi="Verdana"/>
          <w:sz w:val="20"/>
          <w:szCs w:val="20"/>
        </w:rPr>
        <w:t>Gegeven</w:t>
      </w:r>
    </w:p>
    <w:p w:rsidR="00D30757" w:rsidRPr="00AE53E6" w:rsidRDefault="00D30757" w:rsidP="00D30757">
      <w:pPr>
        <w:rPr>
          <w:rFonts w:ascii="Verdana" w:hAnsi="Verdana"/>
          <w:sz w:val="20"/>
          <w:szCs w:val="20"/>
        </w:rPr>
      </w:pPr>
    </w:p>
    <w:p w:rsidR="00D30757" w:rsidRPr="00AE53E6" w:rsidRDefault="00D30757" w:rsidP="00D30757">
      <w:pPr>
        <w:rPr>
          <w:rFonts w:ascii="Verdana" w:hAnsi="Verdana"/>
          <w:sz w:val="20"/>
          <w:szCs w:val="20"/>
        </w:rPr>
      </w:pPr>
    </w:p>
    <w:p w:rsidR="00FD6C21" w:rsidRPr="00AE53E6" w:rsidRDefault="00D30757" w:rsidP="00E6334C">
      <w:pPr>
        <w:rPr>
          <w:rFonts w:ascii="Verdana" w:hAnsi="Verdana"/>
          <w:sz w:val="20"/>
          <w:szCs w:val="20"/>
        </w:rPr>
      </w:pPr>
      <w:r w:rsidRPr="00AE53E6">
        <w:rPr>
          <w:rFonts w:ascii="Verdana" w:hAnsi="Verdana"/>
          <w:sz w:val="20"/>
          <w:szCs w:val="20"/>
        </w:rPr>
        <w:t>De Minister van Veiligheid en Justitie,</w:t>
      </w:r>
    </w:p>
    <w:p w:rsidR="00ED7EC7" w:rsidRPr="00AE53E6" w:rsidRDefault="00ED7EC7" w:rsidP="00E6334C">
      <w:pPr>
        <w:rPr>
          <w:rFonts w:ascii="Verdana" w:hAnsi="Verdana"/>
          <w:sz w:val="20"/>
          <w:szCs w:val="20"/>
        </w:rPr>
      </w:pPr>
    </w:p>
    <w:p w:rsidR="00AD09E6" w:rsidRDefault="00AD09E6" w:rsidP="00E6334C">
      <w:pPr>
        <w:rPr>
          <w:rFonts w:ascii="Verdana" w:hAnsi="Verdana"/>
          <w:sz w:val="20"/>
          <w:szCs w:val="20"/>
        </w:rPr>
        <w:sectPr w:rsidR="00AD09E6" w:rsidSect="001D0110">
          <w:footerReference w:type="even" r:id="rId7"/>
          <w:footerReference w:type="default" r:id="rId8"/>
          <w:footerReference w:type="first" r:id="rId9"/>
          <w:pgSz w:w="11906" w:h="16838"/>
          <w:pgMar w:top="1440" w:right="1800" w:bottom="1440" w:left="1800" w:header="708" w:footer="708" w:gutter="0"/>
          <w:cols w:space="708"/>
          <w:titlePg/>
          <w:docGrid w:linePitch="360"/>
        </w:sectPr>
      </w:pPr>
    </w:p>
    <w:p w:rsidR="00AD09E6" w:rsidRPr="00AD09E6" w:rsidRDefault="00AD09E6" w:rsidP="00AD09E6">
      <w:pPr>
        <w:rPr>
          <w:rFonts w:ascii="Verdana" w:hAnsi="Verdana" w:cs="Arial"/>
          <w:sz w:val="20"/>
          <w:szCs w:val="20"/>
        </w:rPr>
      </w:pPr>
      <w:r w:rsidRPr="00AD09E6">
        <w:rPr>
          <w:rFonts w:ascii="Verdana" w:hAnsi="Verdana" w:cs="Arial"/>
          <w:b/>
          <w:sz w:val="20"/>
          <w:szCs w:val="20"/>
        </w:rPr>
        <w:lastRenderedPageBreak/>
        <w:t>Wijziging van de Politiewet 2012 (onderzoek in lichaam)</w:t>
      </w:r>
    </w:p>
    <w:p w:rsidR="00AD09E6" w:rsidRPr="00AD09E6" w:rsidRDefault="00AD09E6" w:rsidP="00AD09E6">
      <w:pPr>
        <w:rPr>
          <w:rFonts w:ascii="Verdana" w:hAnsi="Verdana" w:cs="Arial"/>
          <w:b/>
          <w:sz w:val="20"/>
          <w:szCs w:val="20"/>
        </w:rPr>
      </w:pPr>
    </w:p>
    <w:p w:rsidR="00AD09E6" w:rsidRPr="00AD09E6" w:rsidRDefault="00AD09E6" w:rsidP="00AD09E6">
      <w:pPr>
        <w:rPr>
          <w:rFonts w:ascii="Verdana" w:hAnsi="Verdana" w:cs="Arial"/>
          <w:b/>
          <w:sz w:val="20"/>
          <w:szCs w:val="20"/>
        </w:rPr>
      </w:pPr>
    </w:p>
    <w:p w:rsidR="00AD09E6" w:rsidRPr="00AD09E6" w:rsidRDefault="00AD09E6" w:rsidP="00AD09E6">
      <w:pPr>
        <w:outlineLvl w:val="0"/>
        <w:rPr>
          <w:rFonts w:ascii="Verdana" w:hAnsi="Verdana" w:cs="Arial"/>
          <w:b/>
          <w:sz w:val="20"/>
          <w:szCs w:val="20"/>
        </w:rPr>
      </w:pPr>
      <w:r w:rsidRPr="00AD09E6">
        <w:rPr>
          <w:rFonts w:ascii="Verdana" w:hAnsi="Verdana" w:cs="Arial"/>
          <w:b/>
          <w:sz w:val="20"/>
          <w:szCs w:val="20"/>
        </w:rPr>
        <w:t>MEMORIE VAN TOELICHTING</w:t>
      </w:r>
    </w:p>
    <w:p w:rsidR="00AD09E6" w:rsidRPr="00AD09E6" w:rsidRDefault="00AD09E6" w:rsidP="00AD09E6">
      <w:pPr>
        <w:rPr>
          <w:rFonts w:ascii="Verdana" w:hAnsi="Verdana" w:cs="Arial"/>
          <w:b/>
          <w:sz w:val="20"/>
          <w:szCs w:val="20"/>
        </w:rPr>
      </w:pPr>
    </w:p>
    <w:p w:rsidR="00AD09E6" w:rsidRPr="00AD09E6" w:rsidRDefault="00AD09E6" w:rsidP="00AD09E6">
      <w:pPr>
        <w:rPr>
          <w:rFonts w:ascii="Verdana" w:hAnsi="Verdana" w:cs="Arial"/>
          <w:b/>
          <w:sz w:val="20"/>
          <w:szCs w:val="20"/>
        </w:rPr>
      </w:pPr>
    </w:p>
    <w:p w:rsidR="00AD09E6" w:rsidRPr="00AD09E6" w:rsidRDefault="00AD09E6" w:rsidP="00AD09E6">
      <w:pPr>
        <w:outlineLvl w:val="0"/>
        <w:rPr>
          <w:rFonts w:ascii="Verdana" w:hAnsi="Verdana" w:cs="Arial"/>
          <w:b/>
          <w:sz w:val="20"/>
          <w:szCs w:val="20"/>
        </w:rPr>
      </w:pPr>
      <w:r w:rsidRPr="00AD09E6">
        <w:rPr>
          <w:rFonts w:ascii="Verdana" w:hAnsi="Verdana" w:cs="Arial"/>
          <w:b/>
          <w:sz w:val="20"/>
          <w:szCs w:val="20"/>
        </w:rPr>
        <w:t>ALGEMEEN DEEL</w:t>
      </w:r>
    </w:p>
    <w:p w:rsidR="00AD09E6" w:rsidRPr="00AD09E6" w:rsidRDefault="00AD09E6" w:rsidP="00AD09E6">
      <w:pPr>
        <w:rPr>
          <w:rFonts w:ascii="Verdana" w:hAnsi="Verdana" w:cs="Arial"/>
          <w:b/>
          <w:sz w:val="20"/>
          <w:szCs w:val="20"/>
        </w:rPr>
      </w:pPr>
    </w:p>
    <w:p w:rsidR="00AD09E6" w:rsidRPr="00AD09E6" w:rsidRDefault="00AD09E6" w:rsidP="00AD09E6">
      <w:pPr>
        <w:rPr>
          <w:rFonts w:ascii="Verdana" w:hAnsi="Verdana" w:cs="Arial"/>
          <w:b/>
          <w:sz w:val="20"/>
          <w:szCs w:val="20"/>
        </w:rPr>
      </w:pPr>
    </w:p>
    <w:p w:rsidR="00AD09E6" w:rsidRPr="00AD09E6" w:rsidRDefault="00AD09E6" w:rsidP="00AD09E6">
      <w:pPr>
        <w:outlineLvl w:val="0"/>
        <w:rPr>
          <w:rFonts w:ascii="Verdana" w:hAnsi="Verdana" w:cs="Arial"/>
          <w:b/>
          <w:sz w:val="20"/>
          <w:szCs w:val="20"/>
        </w:rPr>
      </w:pPr>
      <w:r w:rsidRPr="00AD09E6">
        <w:rPr>
          <w:rFonts w:ascii="Verdana" w:hAnsi="Verdana" w:cs="Arial"/>
          <w:b/>
          <w:sz w:val="20"/>
          <w:szCs w:val="20"/>
        </w:rPr>
        <w:t>Inleiding</w:t>
      </w: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Dit wetsvoorstel strekt ertoe om de beslissing over een onderzoek in het lichaam van degene die wordt of is ingesloten in een politiecel, in handen te leggen van de officier van justitie. Dit voorstel dient ter vervanging van het nog niet in werking getreden zesde lid van artikel 7 van de Politiewet 2012, zoals opgenomen in artikel III, onderdeel A, onder 2, van de Wet van 21 mei 2014 tot wijziging van de Gemeentewet, de Wet wapens en munitie en de Politiewet 2012 (verruiming fouilleerbevoegdheden) (Stb. 2014, 191). Volgens dat zesde lid zou de hier bedoelde beslissing worden genomen door het hoofd van het territoriale onderdeel, bedoeld in artikel 13, eerste lid, van de Politiewet 2012 of door diens plaatsvervanger. Dat zou betekenen dat de beslissing wordt genomen door de leidinggevende binnen de politieorganisatie die deelneemt aan het driehoeksoverleg met de burgemeester. Tijdens het plenaire debat over het betrokken wetsvoorstel op 13 mei 2014 in de Eerste Kamer gaven diverse fracties te kennen dat die keuze naar hun oordeel onvoldoende evenwicht biedt in het afwegen van belangen en het matigen van het middel.</w:t>
      </w:r>
      <w:r w:rsidRPr="00AD09E6">
        <w:rPr>
          <w:rStyle w:val="Voetnootmarkering"/>
          <w:rFonts w:ascii="Verdana" w:hAnsi="Verdana" w:cs="Arial"/>
          <w:sz w:val="20"/>
          <w:szCs w:val="20"/>
        </w:rPr>
        <w:footnoteReference w:id="1"/>
      </w:r>
      <w:r w:rsidRPr="00AD09E6">
        <w:rPr>
          <w:rFonts w:ascii="Verdana" w:hAnsi="Verdana" w:cs="Arial"/>
          <w:sz w:val="20"/>
          <w:szCs w:val="20"/>
        </w:rPr>
        <w:t xml:space="preserve"> Daarbij werd gewezen op het advies van de Afdeling advisering van de Raad van State. Daarin adviseerde de Afdeling om, voor zover het voorgestelde onderzoek in het lichaam in het wetsvoorstel zou worden gehandhaafd, de beslissing in handen te leggen van een hoge justitiële autoriteit, zoals de officier van justitie.</w:t>
      </w:r>
      <w:r w:rsidRPr="00AD09E6">
        <w:rPr>
          <w:rStyle w:val="Voetnootmarkering"/>
          <w:rFonts w:ascii="Verdana" w:hAnsi="Verdana" w:cs="Arial"/>
          <w:sz w:val="20"/>
          <w:szCs w:val="20"/>
        </w:rPr>
        <w:footnoteReference w:id="2"/>
      </w:r>
      <w:r w:rsidRPr="00AD09E6">
        <w:rPr>
          <w:rFonts w:ascii="Verdana" w:hAnsi="Verdana" w:cs="Arial"/>
          <w:sz w:val="20"/>
          <w:szCs w:val="20"/>
        </w:rPr>
        <w:t xml:space="preserve"> Het debat met de Eerste Kamer heeft mij tot de conclusie gebracht dat het inderdaad beter is om deze ingrijpende beslissing niet te laten nemen door iemand binnen de politieorganisatie maar door de officier van justitie. Daartoe dient dit wetsvoorstel.   </w:t>
      </w:r>
    </w:p>
    <w:p w:rsidR="00AD09E6" w:rsidRPr="00AD09E6" w:rsidRDefault="00AD09E6" w:rsidP="00AD09E6">
      <w:pPr>
        <w:outlineLvl w:val="0"/>
        <w:rPr>
          <w:rFonts w:ascii="Verdana" w:hAnsi="Verdana" w:cs="Arial"/>
          <w:sz w:val="20"/>
          <w:szCs w:val="20"/>
        </w:rPr>
      </w:pP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Naast de zojuist besproken wijziging bevat dit wetsvoorstel nog twee andere wijzigingen van artikel 7, zesde lid, van de Politiewet 2012, die deels in het verlengde liggen van de wijziging die voortvloeit uit de hierboven gememoreerde toezegging en deels dienen ter verduidelijking. Ten eerste stel ik voor om te schrappen dat iedere medewerker van het politiebureau of het cellencomplex de hier bedoelde beslissing mag nemen “als onverwijlde tenuitvoerlegging geboden is”. Die bevoegdheid voor noodgevallen zou ontstaan doordat in artikel 7, zesde lid, is opgenomen dat artikel 31, tweede lid, van de Penitentiaire beginselenwet</w:t>
      </w:r>
      <w:r w:rsidRPr="00AD09E6">
        <w:rPr>
          <w:rFonts w:ascii="Verdana" w:hAnsi="Verdana" w:cs="Arial"/>
          <w:sz w:val="20"/>
          <w:szCs w:val="20"/>
          <w:vertAlign w:val="superscript"/>
        </w:rPr>
        <w:footnoteReference w:id="3"/>
      </w:r>
      <w:r w:rsidRPr="00AD09E6">
        <w:rPr>
          <w:rFonts w:ascii="Verdana" w:hAnsi="Verdana" w:cs="Arial"/>
          <w:sz w:val="20"/>
          <w:szCs w:val="20"/>
        </w:rPr>
        <w:t xml:space="preserve"> van overeenkomstige toepassing is. De wens om de beslissingsbevoegdheid “buiten de politie” te leggen, verdraagt zich slecht met vervanging binnen de politie, ook al zou dat alleen gelden in een noodgeval. Bovendien moet het onderzoek zelf hoe dan ook wachten op de komst van een arts of, in diens opdracht, een verpleegkundige. Er is dus voldoende tijd om contact te zoeken met een officier van justitie en hem of haar de situatie voor te leggen.</w:t>
      </w:r>
    </w:p>
    <w:p w:rsidR="00AD09E6" w:rsidRPr="00AD09E6" w:rsidRDefault="00AD09E6" w:rsidP="00AD09E6">
      <w:pPr>
        <w:outlineLvl w:val="0"/>
        <w:rPr>
          <w:rFonts w:ascii="Verdana" w:hAnsi="Verdana" w:cs="Arial"/>
          <w:sz w:val="20"/>
          <w:szCs w:val="20"/>
        </w:rPr>
      </w:pP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Ten tweede stel ik voor om expliciet op te nemen dat het onderzoek in het lichaam wordt verricht door een arts of, in diens opdracht, een verpleegkundige. Dat is geen inhoudelijke wijziging, aangezien in artikel 7, zesde lid, al is opgenomen dat artikel 31, eerste lid, tweede volzin, van de Penitentiaire beginselenwet van overeenkomstige toepassing is, waarin woordelijk hetzelfde wordt geregeld. Maar bij nadere beschouwing lijkt het mij wenselijk, gezien de ingrijpendheid van onderzoek in het lichaam, om de betrokkenheid van een arts duidelijker tot uitdrukking te brengen in de Politiewet 2012.</w:t>
      </w:r>
    </w:p>
    <w:p w:rsidR="00AD09E6" w:rsidRPr="00AD09E6" w:rsidRDefault="00AD09E6" w:rsidP="00BF4CFE">
      <w:pPr>
        <w:keepNext/>
        <w:outlineLvl w:val="0"/>
        <w:rPr>
          <w:rFonts w:ascii="Verdana" w:hAnsi="Verdana" w:cs="Arial"/>
          <w:sz w:val="20"/>
          <w:szCs w:val="20"/>
        </w:rPr>
      </w:pPr>
    </w:p>
    <w:p w:rsidR="00AD09E6" w:rsidRPr="00AD09E6" w:rsidRDefault="00AD09E6" w:rsidP="00BF4CFE">
      <w:pPr>
        <w:keepNext/>
        <w:outlineLvl w:val="0"/>
        <w:rPr>
          <w:rFonts w:ascii="Verdana" w:hAnsi="Verdana" w:cs="Arial"/>
          <w:b/>
          <w:sz w:val="20"/>
          <w:szCs w:val="20"/>
        </w:rPr>
      </w:pPr>
      <w:r w:rsidRPr="00AD09E6">
        <w:rPr>
          <w:rFonts w:ascii="Verdana" w:hAnsi="Verdana" w:cs="Arial"/>
          <w:b/>
          <w:sz w:val="20"/>
          <w:szCs w:val="20"/>
        </w:rPr>
        <w:t xml:space="preserve">Regeldruk en financiële gevolgen </w:t>
      </w: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Dit wetsvoorstel leidt niet tot een wijziging van de administratieve lasten in de specifieke betekenis die Actal aan dat begrip toekent: lasten die voortvloeien uit informatieverplichtingen aan de overheid.</w:t>
      </w:r>
      <w:r w:rsidRPr="00AD09E6">
        <w:rPr>
          <w:rStyle w:val="Voetnootmarkering"/>
          <w:rFonts w:ascii="Verdana" w:hAnsi="Verdana" w:cs="Arial"/>
          <w:sz w:val="20"/>
          <w:szCs w:val="20"/>
        </w:rPr>
        <w:footnoteReference w:id="4"/>
      </w:r>
      <w:r w:rsidRPr="00AD09E6">
        <w:rPr>
          <w:rFonts w:ascii="Verdana" w:hAnsi="Verdana" w:cs="Arial"/>
          <w:sz w:val="20"/>
          <w:szCs w:val="20"/>
        </w:rPr>
        <w:t xml:space="preserve"> Het voorstel leidt evenmin tot nalevingskosten of toezichtslasten. De voorgestelde wijziging leidt er immers slechts toe dat de beslissing over een onderzoek in het lichaam wordt genomen door de officier van justitie en niet, zoals oorspronkelijk beoogd, door de leidinggevende binnen de politieorganisatie die deelneemt aan het driehoeksoverleg met de burgemeester. </w:t>
      </w: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 xml:space="preserve">Ook wat betreft de administratieve lasten in ruimere zin, voor de politie zelf, leidt dit wetsvoorstel naar verwachting niet tot andere gevolgen dan de Wet verruiming fouilleerbevoegdheden. </w:t>
      </w:r>
      <w:r w:rsidRPr="00AD09E6">
        <w:rPr>
          <w:rFonts w:ascii="Verdana" w:hAnsi="Verdana"/>
          <w:sz w:val="20"/>
          <w:szCs w:val="20"/>
        </w:rPr>
        <w:t>Overigens zal de noodzaak van onderzoek in het lichaam zich naar verwachting maar zelden voordoen, namelijk als men door de concrete omstandigheden</w:t>
      </w:r>
      <w:r w:rsidRPr="00AD09E6">
        <w:rPr>
          <w:rFonts w:ascii="Verdana" w:hAnsi="Verdana"/>
          <w:sz w:val="20"/>
          <w:szCs w:val="20"/>
          <w:vertAlign w:val="superscript"/>
        </w:rPr>
        <w:footnoteReference w:id="5"/>
      </w:r>
      <w:r w:rsidRPr="00AD09E6">
        <w:rPr>
          <w:rFonts w:ascii="Verdana" w:hAnsi="Verdana"/>
          <w:sz w:val="20"/>
          <w:szCs w:val="20"/>
        </w:rPr>
        <w:t xml:space="preserve"> (vrijwel) zeker weet dat betrokkene een voorwerp in zijn lichaam heeft verborgen (zoals drugs, een scheermesje of een aansteker) én betrokkene niet bereid of in staat is om het zelf te verwijderen.</w:t>
      </w:r>
    </w:p>
    <w:p w:rsidR="00AD09E6" w:rsidRPr="00AD09E6" w:rsidRDefault="00AD09E6" w:rsidP="00AD09E6">
      <w:pPr>
        <w:outlineLvl w:val="0"/>
        <w:rPr>
          <w:rFonts w:ascii="Verdana" w:hAnsi="Verdana" w:cs="Arial"/>
          <w:sz w:val="20"/>
          <w:szCs w:val="20"/>
        </w:rPr>
      </w:pP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Het voorstel heeft geen financiële gevolgen.</w:t>
      </w:r>
    </w:p>
    <w:p w:rsidR="00AD09E6" w:rsidRPr="00AD09E6" w:rsidRDefault="00AD09E6" w:rsidP="00AD09E6">
      <w:pPr>
        <w:outlineLvl w:val="0"/>
        <w:rPr>
          <w:rFonts w:ascii="Verdana" w:hAnsi="Verdana" w:cs="Arial"/>
          <w:sz w:val="20"/>
          <w:szCs w:val="20"/>
        </w:rPr>
      </w:pPr>
    </w:p>
    <w:p w:rsidR="00AD09E6" w:rsidRPr="00AD09E6" w:rsidRDefault="00AD09E6" w:rsidP="00AD09E6">
      <w:pPr>
        <w:outlineLvl w:val="0"/>
        <w:rPr>
          <w:rFonts w:ascii="Verdana" w:hAnsi="Verdana" w:cs="Arial"/>
          <w:b/>
          <w:sz w:val="20"/>
          <w:szCs w:val="20"/>
        </w:rPr>
      </w:pPr>
      <w:r w:rsidRPr="00AD09E6">
        <w:rPr>
          <w:rFonts w:ascii="Verdana" w:hAnsi="Verdana" w:cs="Arial"/>
          <w:b/>
          <w:sz w:val="20"/>
          <w:szCs w:val="20"/>
        </w:rPr>
        <w:t>Voorbereiding van dit wetsvoorstel</w:t>
      </w:r>
    </w:p>
    <w:p w:rsidR="00AD09E6" w:rsidRPr="00AD09E6" w:rsidRDefault="00AD09E6" w:rsidP="00AD09E6">
      <w:pPr>
        <w:outlineLvl w:val="0"/>
        <w:rPr>
          <w:rFonts w:ascii="Verdana" w:hAnsi="Verdana" w:cs="Arial"/>
          <w:sz w:val="20"/>
          <w:szCs w:val="20"/>
        </w:rPr>
      </w:pPr>
      <w:r w:rsidRPr="00AD09E6">
        <w:rPr>
          <w:rFonts w:ascii="Verdana" w:hAnsi="Verdana" w:cs="Arial"/>
          <w:sz w:val="20"/>
          <w:szCs w:val="20"/>
        </w:rPr>
        <w:t xml:space="preserve">Aangezien dit voorstel gevolg geeft aan een toezegging aan de Eerste Kamer en gezien de wens van die Kamer om dit wetsvoorstel met voortvarendheid in procedure te brengen, heb ik afgezien van een formele consultatiefase. Ik zal op korte termijn in overleg treden met politie en openbaar ministerie over de praktische vormgeving van het verschuiven van de bevoegdheid naar de officier van justitie. Gedacht kan worden aan het aanpassen van de piketmap en afspraken over bereikbaarheid. De concrete gevolgen voor de praktijk zijn overigens mede afhankelijk van de inhoud van de nadere regels, bedoeld in artikel 9, vierde lid, Politiewet 2012, die over het onderzoek in het lichaam zullen worden opgenomen in de </w:t>
      </w:r>
      <w:r w:rsidRPr="00AD09E6">
        <w:rPr>
          <w:rFonts w:ascii="Verdana" w:hAnsi="Verdana"/>
          <w:i/>
          <w:sz w:val="20"/>
          <w:szCs w:val="20"/>
        </w:rPr>
        <w:t>Ambtsinstructie voor de politie, de Koninklijke marechaussee en andere opsporingsambtenaren</w:t>
      </w:r>
      <w:r w:rsidRPr="00AD09E6">
        <w:rPr>
          <w:rFonts w:ascii="Verdana" w:hAnsi="Verdana"/>
          <w:sz w:val="20"/>
          <w:szCs w:val="20"/>
        </w:rPr>
        <w:t xml:space="preserve">, een op die wet gebaseerde algemene maatregel van bestuur. Over die wijziging van de Ambtsinstructie, die in voorbereiding is, zullen de betrokken partijen en de belangenorganisaties worden geraadpleegd en de wijziging zal ook op </w:t>
      </w:r>
      <w:hyperlink r:id="rId10" w:history="1">
        <w:r w:rsidRPr="00AD09E6">
          <w:rPr>
            <w:rStyle w:val="Hyperlink"/>
            <w:rFonts w:ascii="Verdana" w:hAnsi="Verdana"/>
            <w:sz w:val="20"/>
            <w:szCs w:val="20"/>
          </w:rPr>
          <w:t>www.internetconsultatie.nl</w:t>
        </w:r>
      </w:hyperlink>
      <w:r w:rsidRPr="00AD09E6">
        <w:rPr>
          <w:rFonts w:ascii="Verdana" w:hAnsi="Verdana"/>
          <w:sz w:val="20"/>
          <w:szCs w:val="20"/>
        </w:rPr>
        <w:t xml:space="preserve"> voor inspraak worden opengesteld.</w:t>
      </w:r>
    </w:p>
    <w:p w:rsidR="00AD09E6" w:rsidRPr="00AD09E6" w:rsidRDefault="00AD09E6" w:rsidP="00AD09E6">
      <w:pPr>
        <w:rPr>
          <w:rFonts w:ascii="Verdana" w:hAnsi="Verdana" w:cs="Arial"/>
          <w:sz w:val="20"/>
          <w:szCs w:val="20"/>
        </w:rPr>
      </w:pPr>
    </w:p>
    <w:p w:rsidR="00AD09E6" w:rsidRPr="00AD09E6" w:rsidRDefault="00AD09E6" w:rsidP="00AD09E6">
      <w:pPr>
        <w:rPr>
          <w:rFonts w:ascii="Verdana" w:hAnsi="Verdana" w:cs="Arial"/>
          <w:sz w:val="20"/>
          <w:szCs w:val="20"/>
        </w:rPr>
      </w:pPr>
    </w:p>
    <w:p w:rsidR="00AD09E6" w:rsidRPr="00AD09E6" w:rsidRDefault="00AD09E6" w:rsidP="00AD09E6">
      <w:pPr>
        <w:outlineLvl w:val="0"/>
        <w:rPr>
          <w:rFonts w:ascii="Verdana" w:hAnsi="Verdana" w:cs="Arial"/>
          <w:b/>
          <w:sz w:val="20"/>
          <w:szCs w:val="20"/>
        </w:rPr>
      </w:pPr>
      <w:r w:rsidRPr="00AD09E6">
        <w:rPr>
          <w:rFonts w:ascii="Verdana" w:hAnsi="Verdana" w:cs="Arial"/>
          <w:b/>
          <w:sz w:val="20"/>
          <w:szCs w:val="20"/>
        </w:rPr>
        <w:t>ARTIKELSGEWIJZE TOELICHTING</w:t>
      </w:r>
    </w:p>
    <w:p w:rsidR="00AD09E6" w:rsidRPr="00AD09E6" w:rsidRDefault="00AD09E6" w:rsidP="00AD09E6">
      <w:pPr>
        <w:rPr>
          <w:rFonts w:ascii="Verdana" w:hAnsi="Verdana" w:cs="Arial"/>
          <w:b/>
          <w:sz w:val="20"/>
          <w:szCs w:val="20"/>
        </w:rPr>
      </w:pPr>
    </w:p>
    <w:p w:rsidR="00AD09E6" w:rsidRPr="00AD09E6" w:rsidRDefault="00AD09E6" w:rsidP="00AD09E6">
      <w:pPr>
        <w:outlineLvl w:val="0"/>
        <w:rPr>
          <w:rFonts w:ascii="Verdana" w:hAnsi="Verdana"/>
          <w:sz w:val="20"/>
          <w:szCs w:val="20"/>
        </w:rPr>
      </w:pPr>
      <w:r w:rsidRPr="00AD09E6">
        <w:rPr>
          <w:rFonts w:ascii="Verdana" w:hAnsi="Verdana"/>
          <w:b/>
          <w:sz w:val="20"/>
          <w:szCs w:val="20"/>
        </w:rPr>
        <w:t>Artikel I</w:t>
      </w:r>
    </w:p>
    <w:p w:rsidR="00AD09E6" w:rsidRPr="00AD09E6" w:rsidRDefault="00AD09E6" w:rsidP="00AD09E6">
      <w:pPr>
        <w:rPr>
          <w:rFonts w:ascii="Verdana" w:hAnsi="Verdana"/>
          <w:sz w:val="20"/>
          <w:szCs w:val="20"/>
        </w:rPr>
      </w:pPr>
      <w:r w:rsidRPr="00AD09E6">
        <w:rPr>
          <w:rFonts w:ascii="Verdana" w:hAnsi="Verdana"/>
          <w:sz w:val="20"/>
          <w:szCs w:val="20"/>
        </w:rPr>
        <w:t>Behalve de in het algemeen deel besproken wijzigingen is de formulering van het zesde lid identiek aan de tekst zoals opgenomen in de Wet verruiming fouilleerbevoegdheden. De in die wet gekozen formulering is op haar beurt afgeleid van artikel 31, eerste lid, van de Penitentiaire beginselenwet, dat luidt: “De directeur kan bepalen dat een gedetineerde in het lichaam wordt onderzocht, indien dit noodzakelijk is ter afwending van ernstig gevaar voor de handhaving van de orde of de veiligheid in de inrichting dan wel voor de gezondheid van de gedetineerde. Het onderzoek in het lichaam wordt verricht door een arts of, in diens opdracht, door een verpleegkundige”.</w:t>
      </w:r>
    </w:p>
    <w:p w:rsidR="00AD09E6" w:rsidRPr="00AD09E6" w:rsidRDefault="00AD09E6" w:rsidP="00AD09E6">
      <w:pPr>
        <w:rPr>
          <w:rFonts w:ascii="Verdana" w:hAnsi="Verdana"/>
          <w:sz w:val="20"/>
          <w:szCs w:val="20"/>
        </w:rPr>
      </w:pPr>
    </w:p>
    <w:p w:rsidR="00AD09E6" w:rsidRPr="00AD09E6" w:rsidRDefault="00AD09E6" w:rsidP="00AD09E6">
      <w:pPr>
        <w:rPr>
          <w:rFonts w:ascii="Verdana" w:hAnsi="Verdana"/>
          <w:b/>
          <w:sz w:val="20"/>
          <w:szCs w:val="20"/>
        </w:rPr>
      </w:pPr>
      <w:r w:rsidRPr="00AD09E6">
        <w:rPr>
          <w:rFonts w:ascii="Verdana" w:hAnsi="Verdana"/>
          <w:b/>
          <w:sz w:val="20"/>
          <w:szCs w:val="20"/>
        </w:rPr>
        <w:t>Artikel II (inwerkingtreding)</w:t>
      </w:r>
    </w:p>
    <w:p w:rsidR="00AD09E6" w:rsidRPr="00AD09E6" w:rsidRDefault="00AD09E6" w:rsidP="00AD09E6">
      <w:pPr>
        <w:rPr>
          <w:rFonts w:ascii="Verdana" w:hAnsi="Verdana"/>
          <w:sz w:val="20"/>
          <w:szCs w:val="20"/>
        </w:rPr>
      </w:pPr>
      <w:r w:rsidRPr="00AD09E6">
        <w:rPr>
          <w:rFonts w:ascii="Verdana" w:hAnsi="Verdana"/>
          <w:sz w:val="20"/>
          <w:szCs w:val="20"/>
        </w:rPr>
        <w:t xml:space="preserve">Artikel 7, zesde lid, van de Politiewet 2012 is nog niet in werking getreden, net zo min als de overige wijzigingen van die wet die zijn opgenomen in artikel III van de Wet verruiming fouilleerbevoegdheden. Om nadere regels te stellen over de bevoegdheden die door artikel III worden gewijzigd, is een wijziging nodig van de </w:t>
      </w:r>
      <w:r w:rsidRPr="00AD09E6">
        <w:rPr>
          <w:rFonts w:ascii="Verdana" w:hAnsi="Verdana"/>
          <w:i/>
          <w:sz w:val="20"/>
          <w:szCs w:val="20"/>
        </w:rPr>
        <w:t>Ambtsinstructie voor de politie, de Koninklijke marechaussee en andere opsporingsambtenaren</w:t>
      </w:r>
      <w:r w:rsidRPr="00AD09E6">
        <w:rPr>
          <w:rFonts w:ascii="Verdana" w:hAnsi="Verdana"/>
          <w:sz w:val="20"/>
          <w:szCs w:val="20"/>
        </w:rPr>
        <w:t>. Die wijziging is nog in voorbereiding. Het ligt voor de hand om voor de drie betrokken wijzigingen:</w:t>
      </w:r>
    </w:p>
    <w:p w:rsidR="00AD09E6" w:rsidRPr="00AD09E6" w:rsidRDefault="00AD09E6" w:rsidP="00AD09E6">
      <w:pPr>
        <w:rPr>
          <w:rFonts w:ascii="Verdana" w:hAnsi="Verdana"/>
          <w:sz w:val="20"/>
          <w:szCs w:val="20"/>
        </w:rPr>
      </w:pPr>
      <w:r w:rsidRPr="00AD09E6">
        <w:rPr>
          <w:rFonts w:ascii="Verdana" w:hAnsi="Verdana"/>
          <w:sz w:val="20"/>
          <w:szCs w:val="20"/>
        </w:rPr>
        <w:t xml:space="preserve">1. de in artikel III opgenomen wijzigingen, </w:t>
      </w:r>
    </w:p>
    <w:p w:rsidR="00AD09E6" w:rsidRPr="00AD09E6" w:rsidRDefault="00AD09E6" w:rsidP="00AD09E6">
      <w:pPr>
        <w:rPr>
          <w:rFonts w:ascii="Verdana" w:hAnsi="Verdana"/>
          <w:sz w:val="20"/>
          <w:szCs w:val="20"/>
        </w:rPr>
      </w:pPr>
      <w:r w:rsidRPr="00AD09E6">
        <w:rPr>
          <w:rFonts w:ascii="Verdana" w:hAnsi="Verdana"/>
          <w:sz w:val="20"/>
          <w:szCs w:val="20"/>
        </w:rPr>
        <w:t xml:space="preserve">2. de in het onderhavige wetsvoorstel opgenomen wijziging van artikel 7, zesde lid, en </w:t>
      </w:r>
    </w:p>
    <w:p w:rsidR="00AD09E6" w:rsidRPr="00AD09E6" w:rsidRDefault="00AD09E6" w:rsidP="00AD09E6">
      <w:pPr>
        <w:rPr>
          <w:rFonts w:ascii="Verdana" w:hAnsi="Verdana"/>
          <w:sz w:val="20"/>
          <w:szCs w:val="20"/>
        </w:rPr>
      </w:pPr>
      <w:r w:rsidRPr="00AD09E6">
        <w:rPr>
          <w:rFonts w:ascii="Verdana" w:hAnsi="Verdana"/>
          <w:sz w:val="20"/>
          <w:szCs w:val="20"/>
        </w:rPr>
        <w:t>3. de wijziging van de Ambtsinstructie,</w:t>
      </w:r>
    </w:p>
    <w:p w:rsidR="00AD09E6" w:rsidRPr="00AD09E6" w:rsidRDefault="00AD09E6" w:rsidP="00AD09E6">
      <w:pPr>
        <w:rPr>
          <w:rFonts w:ascii="Verdana" w:hAnsi="Verdana"/>
          <w:sz w:val="20"/>
          <w:szCs w:val="20"/>
        </w:rPr>
      </w:pPr>
      <w:r w:rsidRPr="00AD09E6">
        <w:rPr>
          <w:rFonts w:ascii="Verdana" w:hAnsi="Verdana"/>
          <w:sz w:val="20"/>
          <w:szCs w:val="20"/>
        </w:rPr>
        <w:lastRenderedPageBreak/>
        <w:t>te kiezen voor één datum van inwerkingtreding (te bepalen bij koninklijk besluit), ook als de wijziging van de Ambtsinstructie eventueel deels eerder in werking zou kunnen treden. De formulering van artikel III staat er wetstechnisch namelijk aan in de weg (vanwege de vernummering van artikelleden en verwijzingen naar die leden) om alleen het nieuwe zesde lid van artikel 7 buiten werking te laten. Bovendien voorkomt één gezamenlijke datum van inwerkingtreding dat de uitvoeringspraktijk wordt belast met twee wijzigingen van de Ambtsinstructie kort na elkaar.</w:t>
      </w:r>
    </w:p>
    <w:p w:rsidR="00AD09E6" w:rsidRPr="00AD09E6" w:rsidRDefault="00AD09E6" w:rsidP="00AD09E6">
      <w:pPr>
        <w:rPr>
          <w:rFonts w:ascii="Verdana" w:hAnsi="Verdana"/>
          <w:sz w:val="20"/>
          <w:szCs w:val="20"/>
        </w:rPr>
      </w:pPr>
    </w:p>
    <w:p w:rsidR="00AD09E6" w:rsidRPr="00AD09E6" w:rsidRDefault="00AD09E6" w:rsidP="00AD09E6">
      <w:pPr>
        <w:rPr>
          <w:rFonts w:ascii="Verdana" w:hAnsi="Verdana"/>
          <w:sz w:val="20"/>
          <w:szCs w:val="20"/>
        </w:rPr>
      </w:pPr>
    </w:p>
    <w:p w:rsidR="00AD09E6" w:rsidRPr="00AD09E6" w:rsidRDefault="00AD09E6" w:rsidP="00AD09E6">
      <w:pPr>
        <w:rPr>
          <w:rFonts w:ascii="Verdana" w:hAnsi="Verdana"/>
          <w:sz w:val="20"/>
          <w:szCs w:val="20"/>
        </w:rPr>
      </w:pPr>
    </w:p>
    <w:p w:rsidR="00AD09E6" w:rsidRPr="00AD09E6" w:rsidRDefault="00AD09E6" w:rsidP="00AD09E6">
      <w:pPr>
        <w:outlineLvl w:val="0"/>
        <w:rPr>
          <w:rFonts w:ascii="Verdana" w:hAnsi="Verdana"/>
          <w:sz w:val="20"/>
          <w:szCs w:val="20"/>
        </w:rPr>
      </w:pPr>
      <w:r w:rsidRPr="00AD09E6">
        <w:rPr>
          <w:rFonts w:ascii="Verdana" w:hAnsi="Verdana"/>
          <w:sz w:val="20"/>
          <w:szCs w:val="20"/>
        </w:rPr>
        <w:t>De Minister van Veiligheid en Justitie,</w:t>
      </w:r>
    </w:p>
    <w:p w:rsidR="00AD09E6" w:rsidRPr="00930799" w:rsidRDefault="00AD09E6" w:rsidP="00AD09E6">
      <w:pPr>
        <w:rPr>
          <w:rFonts w:ascii="Verdana" w:hAnsi="Verdana"/>
          <w:sz w:val="18"/>
          <w:szCs w:val="18"/>
        </w:rPr>
      </w:pPr>
    </w:p>
    <w:p w:rsidR="00AD09E6" w:rsidRPr="00930799" w:rsidRDefault="00AD09E6" w:rsidP="00AD09E6">
      <w:pPr>
        <w:rPr>
          <w:rFonts w:ascii="Verdana" w:hAnsi="Verdana"/>
          <w:sz w:val="18"/>
          <w:szCs w:val="18"/>
        </w:rPr>
      </w:pPr>
    </w:p>
    <w:p w:rsidR="00AD09E6" w:rsidRPr="00930799" w:rsidRDefault="00AD09E6" w:rsidP="00AD09E6">
      <w:pPr>
        <w:rPr>
          <w:rFonts w:ascii="Verdana" w:hAnsi="Verdana"/>
          <w:sz w:val="18"/>
          <w:szCs w:val="18"/>
        </w:rPr>
      </w:pPr>
    </w:p>
    <w:p w:rsidR="00AD09E6" w:rsidRPr="00930799" w:rsidRDefault="00AD09E6" w:rsidP="00AD09E6">
      <w:pPr>
        <w:rPr>
          <w:rFonts w:ascii="Verdana" w:hAnsi="Verdana"/>
          <w:sz w:val="18"/>
          <w:szCs w:val="18"/>
        </w:rPr>
      </w:pPr>
    </w:p>
    <w:p w:rsidR="00AD09E6" w:rsidRPr="00930799" w:rsidRDefault="00AD09E6" w:rsidP="00AD09E6">
      <w:pPr>
        <w:rPr>
          <w:sz w:val="18"/>
          <w:szCs w:val="18"/>
        </w:rPr>
      </w:pPr>
    </w:p>
    <w:p w:rsidR="00ED7EC7" w:rsidRPr="00AE53E6" w:rsidRDefault="00ED7EC7" w:rsidP="00E6334C">
      <w:pPr>
        <w:rPr>
          <w:rFonts w:ascii="Verdana" w:hAnsi="Verdana"/>
          <w:sz w:val="20"/>
          <w:szCs w:val="20"/>
        </w:rPr>
      </w:pPr>
    </w:p>
    <w:sectPr w:rsidR="00ED7EC7" w:rsidRPr="00AE53E6" w:rsidSect="00465F95">
      <w:footerReference w:type="even" r:id="rId11"/>
      <w:footerReference w:type="default" r:id="rId12"/>
      <w:footerReference w:type="first" r:id="rId13"/>
      <w:pgSz w:w="11906" w:h="16838"/>
      <w:pgMar w:top="1079" w:right="1417" w:bottom="899" w:left="141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87" w:rsidRDefault="00E31287">
      <w:r>
        <w:separator/>
      </w:r>
    </w:p>
  </w:endnote>
  <w:endnote w:type="continuationSeparator" w:id="0">
    <w:p w:rsidR="00E31287" w:rsidRDefault="00E31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AEC" w:rsidRDefault="00A70AEC" w:rsidP="003D418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A70AEC" w:rsidRDefault="00A70AEC" w:rsidP="001D0110">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AEC" w:rsidRPr="001D0110" w:rsidRDefault="00A70AEC" w:rsidP="003D4189">
    <w:pPr>
      <w:pStyle w:val="Voettekst"/>
      <w:framePr w:wrap="around" w:vAnchor="text" w:hAnchor="margin" w:xAlign="right" w:y="1"/>
      <w:rPr>
        <w:rStyle w:val="Paginanummer"/>
        <w:rFonts w:ascii="Verdana" w:hAnsi="Verdana"/>
        <w:sz w:val="16"/>
        <w:szCs w:val="16"/>
      </w:rPr>
    </w:pPr>
    <w:r w:rsidRPr="001D0110">
      <w:rPr>
        <w:rStyle w:val="Paginanummer"/>
        <w:rFonts w:ascii="Verdana" w:hAnsi="Verdana"/>
        <w:sz w:val="16"/>
        <w:szCs w:val="16"/>
      </w:rPr>
      <w:fldChar w:fldCharType="begin"/>
    </w:r>
    <w:r w:rsidRPr="001D0110">
      <w:rPr>
        <w:rStyle w:val="Paginanummer"/>
        <w:rFonts w:ascii="Verdana" w:hAnsi="Verdana"/>
        <w:sz w:val="16"/>
        <w:szCs w:val="16"/>
      </w:rPr>
      <w:instrText xml:space="preserve">PAGE  </w:instrText>
    </w:r>
    <w:r w:rsidRPr="001D0110">
      <w:rPr>
        <w:rStyle w:val="Paginanummer"/>
        <w:rFonts w:ascii="Verdana" w:hAnsi="Verdana"/>
        <w:sz w:val="16"/>
        <w:szCs w:val="16"/>
      </w:rPr>
      <w:fldChar w:fldCharType="separate"/>
    </w:r>
    <w:r w:rsidR="00EC6EEE">
      <w:rPr>
        <w:rStyle w:val="Paginanummer"/>
        <w:rFonts w:ascii="Verdana" w:hAnsi="Verdana"/>
        <w:sz w:val="16"/>
        <w:szCs w:val="16"/>
      </w:rPr>
      <w:t>2</w:t>
    </w:r>
    <w:r w:rsidRPr="001D0110">
      <w:rPr>
        <w:rStyle w:val="Paginanummer"/>
        <w:rFonts w:ascii="Verdana" w:hAnsi="Verdana"/>
        <w:sz w:val="16"/>
        <w:szCs w:val="16"/>
      </w:rPr>
      <w:fldChar w:fldCharType="end"/>
    </w:r>
  </w:p>
  <w:p w:rsidR="00A70AEC" w:rsidRDefault="00A70AEC" w:rsidP="001D0110">
    <w:pPr>
      <w:pStyle w:val="Voetteks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CFC" w:rsidRDefault="001E5CFC">
    <w:pPr>
      <w:pStyle w:val="Voettekst"/>
      <w:jc w:val="right"/>
    </w:pPr>
    <w:r>
      <w:fldChar w:fldCharType="begin"/>
    </w:r>
    <w:r>
      <w:instrText>PAGE   \* MERGEFORMAT</w:instrText>
    </w:r>
    <w:r>
      <w:fldChar w:fldCharType="separate"/>
    </w:r>
    <w:r w:rsidR="00AD4838">
      <w:t>1</w:t>
    </w:r>
    <w:r>
      <w:fldChar w:fldCharType="end"/>
    </w:r>
  </w:p>
  <w:p w:rsidR="001E5CFC" w:rsidRDefault="001E5CFC">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88B" w:rsidRDefault="00AD4838" w:rsidP="00465F9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42</w:t>
    </w:r>
    <w:r>
      <w:rPr>
        <w:rStyle w:val="Paginanummer"/>
      </w:rPr>
      <w:fldChar w:fldCharType="end"/>
    </w:r>
  </w:p>
  <w:p w:rsidR="006C388B" w:rsidRDefault="00AD4838" w:rsidP="00465F95">
    <w:pPr>
      <w:pStyle w:val="Voettekst"/>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88B" w:rsidRPr="00930799" w:rsidRDefault="00AD4838" w:rsidP="00465F95">
    <w:pPr>
      <w:pStyle w:val="Voettekst"/>
      <w:framePr w:wrap="around" w:vAnchor="text" w:hAnchor="margin" w:xAlign="right" w:y="1"/>
      <w:jc w:val="right"/>
      <w:rPr>
        <w:rStyle w:val="Paginanummer"/>
        <w:rFonts w:ascii="Verdana" w:hAnsi="Verdana"/>
        <w:sz w:val="18"/>
        <w:szCs w:val="18"/>
      </w:rPr>
    </w:pPr>
    <w:r w:rsidRPr="00930799">
      <w:rPr>
        <w:rStyle w:val="Paginanummer"/>
        <w:rFonts w:ascii="Verdana" w:hAnsi="Verdana"/>
        <w:sz w:val="18"/>
        <w:szCs w:val="18"/>
      </w:rPr>
      <w:fldChar w:fldCharType="begin"/>
    </w:r>
    <w:r w:rsidRPr="00930799">
      <w:rPr>
        <w:rStyle w:val="Paginanummer"/>
        <w:rFonts w:ascii="Verdana" w:hAnsi="Verdana"/>
        <w:sz w:val="18"/>
        <w:szCs w:val="18"/>
      </w:rPr>
      <w:instrText xml:space="preserve">PAGE  </w:instrText>
    </w:r>
    <w:r w:rsidRPr="00930799">
      <w:rPr>
        <w:rStyle w:val="Paginanummer"/>
        <w:rFonts w:ascii="Verdana" w:hAnsi="Verdana"/>
        <w:sz w:val="18"/>
        <w:szCs w:val="18"/>
      </w:rPr>
      <w:fldChar w:fldCharType="separate"/>
    </w:r>
    <w:r>
      <w:rPr>
        <w:rStyle w:val="Paginanummer"/>
        <w:rFonts w:ascii="Verdana" w:hAnsi="Verdana"/>
        <w:sz w:val="18"/>
        <w:szCs w:val="18"/>
      </w:rPr>
      <w:t>4</w:t>
    </w:r>
    <w:r w:rsidRPr="00930799">
      <w:rPr>
        <w:rStyle w:val="Paginanummer"/>
        <w:rFonts w:ascii="Verdana" w:hAnsi="Verdana"/>
        <w:sz w:val="18"/>
        <w:szCs w:val="18"/>
      </w:rPr>
      <w:fldChar w:fldCharType="end"/>
    </w:r>
  </w:p>
  <w:p w:rsidR="006C388B" w:rsidRDefault="00AD4838" w:rsidP="00465F95">
    <w:pPr>
      <w:pStyle w:val="Voettekst"/>
      <w:framePr w:wrap="around" w:vAnchor="text" w:hAnchor="margin" w:xAlign="right" w:y="1"/>
      <w:ind w:right="360"/>
      <w:rPr>
        <w:rStyle w:val="Paginanummer"/>
      </w:rPr>
    </w:pPr>
  </w:p>
  <w:p w:rsidR="006C388B" w:rsidRPr="00BA7343" w:rsidRDefault="00AD4838" w:rsidP="00465F95">
    <w:pPr>
      <w:pStyle w:val="Voettekst"/>
      <w:ind w:right="360"/>
      <w:jc w:val="right"/>
      <w:rPr>
        <w:rFonts w:ascii="Verdana" w:hAnsi="Verdana"/>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AC9" w:rsidRPr="004F7AC9" w:rsidRDefault="00AD4838">
    <w:pPr>
      <w:pStyle w:val="Voettekst"/>
      <w:jc w:val="right"/>
      <w:rPr>
        <w:rFonts w:ascii="Verdana" w:hAnsi="Verdana"/>
        <w:sz w:val="18"/>
      </w:rPr>
    </w:pPr>
    <w:r w:rsidRPr="004F7AC9">
      <w:rPr>
        <w:rFonts w:ascii="Verdana" w:hAnsi="Verdana"/>
        <w:sz w:val="18"/>
      </w:rPr>
      <w:fldChar w:fldCharType="begin"/>
    </w:r>
    <w:r w:rsidRPr="004F7AC9">
      <w:rPr>
        <w:rFonts w:ascii="Verdana" w:hAnsi="Verdana"/>
        <w:sz w:val="18"/>
      </w:rPr>
      <w:instrText>PAGE   \* MERGEFORMAT</w:instrText>
    </w:r>
    <w:r w:rsidRPr="004F7AC9">
      <w:rPr>
        <w:rFonts w:ascii="Verdana" w:hAnsi="Verdana"/>
        <w:sz w:val="18"/>
      </w:rPr>
      <w:fldChar w:fldCharType="separate"/>
    </w:r>
    <w:r>
      <w:rPr>
        <w:rFonts w:ascii="Verdana" w:hAnsi="Verdana"/>
        <w:sz w:val="18"/>
      </w:rPr>
      <w:t>2</w:t>
    </w:r>
    <w:r w:rsidRPr="004F7AC9">
      <w:rPr>
        <w:rFonts w:ascii="Verdana" w:hAnsi="Verdana"/>
        <w:sz w:val="18"/>
      </w:rPr>
      <w:fldChar w:fldCharType="end"/>
    </w:r>
  </w:p>
  <w:p w:rsidR="004F7AC9" w:rsidRDefault="00AD483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87" w:rsidRDefault="00E31287">
      <w:r>
        <w:separator/>
      </w:r>
    </w:p>
  </w:footnote>
  <w:footnote w:type="continuationSeparator" w:id="0">
    <w:p w:rsidR="00E31287" w:rsidRDefault="00E31287">
      <w:r>
        <w:continuationSeparator/>
      </w:r>
    </w:p>
  </w:footnote>
  <w:footnote w:id="1">
    <w:p w:rsidR="00AD09E6" w:rsidRPr="00830338" w:rsidRDefault="00AD09E6" w:rsidP="00AD09E6">
      <w:pPr>
        <w:pStyle w:val="Voetnoottekst"/>
        <w:rPr>
          <w:rFonts w:ascii="Verdana" w:hAnsi="Verdana"/>
          <w:sz w:val="16"/>
        </w:rPr>
      </w:pPr>
      <w:r w:rsidRPr="00830338">
        <w:rPr>
          <w:rStyle w:val="Voetnootmarkering"/>
          <w:rFonts w:ascii="Verdana" w:hAnsi="Verdana"/>
          <w:sz w:val="16"/>
        </w:rPr>
        <w:footnoteRef/>
      </w:r>
      <w:r w:rsidRPr="00830338">
        <w:rPr>
          <w:rFonts w:ascii="Verdana" w:hAnsi="Verdana"/>
          <w:sz w:val="16"/>
        </w:rPr>
        <w:t xml:space="preserve"> Handelingen</w:t>
      </w:r>
      <w:r>
        <w:rPr>
          <w:rFonts w:ascii="Verdana" w:hAnsi="Verdana"/>
          <w:sz w:val="16"/>
        </w:rPr>
        <w:t xml:space="preserve"> I</w:t>
      </w:r>
      <w:r w:rsidRPr="00830338">
        <w:rPr>
          <w:rFonts w:ascii="Verdana" w:hAnsi="Verdana"/>
          <w:sz w:val="16"/>
        </w:rPr>
        <w:t xml:space="preserve"> 2013/14, </w:t>
      </w:r>
      <w:r>
        <w:rPr>
          <w:rFonts w:ascii="Verdana" w:hAnsi="Verdana"/>
          <w:sz w:val="16"/>
        </w:rPr>
        <w:t>nr. 29, item 5.</w:t>
      </w:r>
    </w:p>
  </w:footnote>
  <w:footnote w:id="2">
    <w:p w:rsidR="00AD09E6" w:rsidRPr="00830338" w:rsidRDefault="00AD09E6" w:rsidP="00AD09E6">
      <w:pPr>
        <w:pStyle w:val="Voetnoottekst"/>
        <w:rPr>
          <w:rFonts w:ascii="Verdana" w:hAnsi="Verdana"/>
          <w:sz w:val="16"/>
        </w:rPr>
      </w:pPr>
      <w:r w:rsidRPr="00830338">
        <w:rPr>
          <w:rStyle w:val="Voetnootmarkering"/>
          <w:rFonts w:ascii="Verdana" w:hAnsi="Verdana"/>
          <w:sz w:val="16"/>
        </w:rPr>
        <w:footnoteRef/>
      </w:r>
      <w:r w:rsidRPr="00830338">
        <w:rPr>
          <w:rFonts w:ascii="Verdana" w:hAnsi="Verdana"/>
          <w:sz w:val="16"/>
        </w:rPr>
        <w:t xml:space="preserve"> Kamerstukken 2011/12, 33 112, nr. 4, blz. 8.</w:t>
      </w:r>
    </w:p>
  </w:footnote>
  <w:footnote w:id="3">
    <w:p w:rsidR="00AD09E6" w:rsidRPr="00830338" w:rsidRDefault="00AD09E6" w:rsidP="00AD09E6">
      <w:pPr>
        <w:pStyle w:val="Voetnoottekst"/>
        <w:rPr>
          <w:rFonts w:ascii="Verdana" w:hAnsi="Verdana"/>
          <w:sz w:val="16"/>
        </w:rPr>
      </w:pPr>
      <w:r w:rsidRPr="00830338">
        <w:rPr>
          <w:rStyle w:val="Voetnootmarkering"/>
          <w:rFonts w:ascii="Verdana" w:hAnsi="Verdana"/>
          <w:sz w:val="16"/>
        </w:rPr>
        <w:footnoteRef/>
      </w:r>
      <w:r w:rsidRPr="00830338">
        <w:rPr>
          <w:rFonts w:ascii="Verdana" w:hAnsi="Verdana"/>
          <w:sz w:val="16"/>
        </w:rPr>
        <w:t xml:space="preserve"> Artikel 31, tweede lid, van de Penitentiaire beginselenwet luidt: “Een ambtenaar of medewerker van de inrichting waar de gedetineerde verblijft kan indien onverwijlde tenuitvoerlegging geboden is, een beslissing als bedoeld in het eerste lid nemen.”</w:t>
      </w:r>
    </w:p>
  </w:footnote>
  <w:footnote w:id="4">
    <w:p w:rsidR="00AD09E6" w:rsidRPr="00830338" w:rsidRDefault="00AD09E6" w:rsidP="00AD09E6">
      <w:pPr>
        <w:pStyle w:val="Voetnoottekst"/>
        <w:rPr>
          <w:rFonts w:ascii="Verdana" w:hAnsi="Verdana"/>
          <w:sz w:val="16"/>
        </w:rPr>
      </w:pPr>
      <w:r w:rsidRPr="00830338">
        <w:rPr>
          <w:rStyle w:val="Voetnootmarkering"/>
          <w:rFonts w:ascii="Verdana" w:hAnsi="Verdana"/>
          <w:sz w:val="16"/>
        </w:rPr>
        <w:footnoteRef/>
      </w:r>
      <w:r w:rsidRPr="00830338">
        <w:rPr>
          <w:rFonts w:ascii="Verdana" w:hAnsi="Verdana"/>
          <w:sz w:val="16"/>
        </w:rPr>
        <w:t xml:space="preserve"> Zie </w:t>
      </w:r>
      <w:hyperlink r:id="rId1" w:history="1">
        <w:r w:rsidRPr="00830338">
          <w:rPr>
            <w:rStyle w:val="Hyperlink"/>
            <w:rFonts w:ascii="Verdana" w:hAnsi="Verdana"/>
            <w:sz w:val="16"/>
          </w:rPr>
          <w:t>www.actal.nl/alternatieven/introductie</w:t>
        </w:r>
      </w:hyperlink>
      <w:r w:rsidRPr="00830338">
        <w:rPr>
          <w:rFonts w:ascii="Verdana" w:hAnsi="Verdana"/>
          <w:sz w:val="16"/>
        </w:rPr>
        <w:t xml:space="preserve">. </w:t>
      </w:r>
    </w:p>
  </w:footnote>
  <w:footnote w:id="5">
    <w:p w:rsidR="00AD09E6" w:rsidRPr="00830338" w:rsidRDefault="00AD09E6" w:rsidP="00AD09E6">
      <w:pPr>
        <w:pStyle w:val="Voetnoottekst"/>
        <w:rPr>
          <w:rFonts w:ascii="Verdana" w:hAnsi="Verdana"/>
          <w:sz w:val="16"/>
        </w:rPr>
      </w:pPr>
      <w:r w:rsidRPr="00830338">
        <w:rPr>
          <w:rStyle w:val="Voetnootmarkering"/>
          <w:rFonts w:ascii="Verdana" w:hAnsi="Verdana"/>
          <w:sz w:val="16"/>
        </w:rPr>
        <w:footnoteRef/>
      </w:r>
      <w:r w:rsidRPr="00830338">
        <w:rPr>
          <w:rFonts w:ascii="Verdana" w:hAnsi="Verdana"/>
          <w:sz w:val="16"/>
        </w:rPr>
        <w:t xml:space="preserve"> Zie de nadere toelichting in Kamerstukken II 2011/12, 33 112, nr. 6, blz. 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798"/>
    <w:rsid w:val="00002787"/>
    <w:rsid w:val="0000762F"/>
    <w:rsid w:val="00010AA8"/>
    <w:rsid w:val="000168C7"/>
    <w:rsid w:val="00020CD3"/>
    <w:rsid w:val="0002480E"/>
    <w:rsid w:val="00024A8E"/>
    <w:rsid w:val="00051EE4"/>
    <w:rsid w:val="00053EF1"/>
    <w:rsid w:val="00064216"/>
    <w:rsid w:val="00080707"/>
    <w:rsid w:val="00083A14"/>
    <w:rsid w:val="000A3C58"/>
    <w:rsid w:val="000E65CD"/>
    <w:rsid w:val="000E7AA0"/>
    <w:rsid w:val="00121FD9"/>
    <w:rsid w:val="00126226"/>
    <w:rsid w:val="00146049"/>
    <w:rsid w:val="00160344"/>
    <w:rsid w:val="00167E78"/>
    <w:rsid w:val="00176BFA"/>
    <w:rsid w:val="001B66C2"/>
    <w:rsid w:val="001C739B"/>
    <w:rsid w:val="001D0110"/>
    <w:rsid w:val="001E5CFC"/>
    <w:rsid w:val="00202AF2"/>
    <w:rsid w:val="0020571F"/>
    <w:rsid w:val="0021618A"/>
    <w:rsid w:val="002256B8"/>
    <w:rsid w:val="002402BC"/>
    <w:rsid w:val="00253DAE"/>
    <w:rsid w:val="00270E65"/>
    <w:rsid w:val="002B2999"/>
    <w:rsid w:val="002C6ADF"/>
    <w:rsid w:val="002E45FE"/>
    <w:rsid w:val="002E56DA"/>
    <w:rsid w:val="002E6E58"/>
    <w:rsid w:val="002F44C1"/>
    <w:rsid w:val="003013C8"/>
    <w:rsid w:val="00301F35"/>
    <w:rsid w:val="00311C4C"/>
    <w:rsid w:val="00312EA7"/>
    <w:rsid w:val="003147E2"/>
    <w:rsid w:val="003352FD"/>
    <w:rsid w:val="00362F38"/>
    <w:rsid w:val="003813EC"/>
    <w:rsid w:val="003916C2"/>
    <w:rsid w:val="003A76E1"/>
    <w:rsid w:val="003C6975"/>
    <w:rsid w:val="003D4189"/>
    <w:rsid w:val="003D77ED"/>
    <w:rsid w:val="00406378"/>
    <w:rsid w:val="00417AE8"/>
    <w:rsid w:val="00424D9F"/>
    <w:rsid w:val="0042648B"/>
    <w:rsid w:val="00437460"/>
    <w:rsid w:val="00443CF5"/>
    <w:rsid w:val="004463BE"/>
    <w:rsid w:val="0045104C"/>
    <w:rsid w:val="00460292"/>
    <w:rsid w:val="00460B0F"/>
    <w:rsid w:val="004864EC"/>
    <w:rsid w:val="004B5EB8"/>
    <w:rsid w:val="004F1C3B"/>
    <w:rsid w:val="004F3166"/>
    <w:rsid w:val="00515FC8"/>
    <w:rsid w:val="00531153"/>
    <w:rsid w:val="0057144A"/>
    <w:rsid w:val="006125F9"/>
    <w:rsid w:val="00615FB2"/>
    <w:rsid w:val="00616746"/>
    <w:rsid w:val="0062308B"/>
    <w:rsid w:val="00625F14"/>
    <w:rsid w:val="006307B6"/>
    <w:rsid w:val="00630A03"/>
    <w:rsid w:val="0063114C"/>
    <w:rsid w:val="00636B6F"/>
    <w:rsid w:val="00651A3E"/>
    <w:rsid w:val="00652306"/>
    <w:rsid w:val="00656E5A"/>
    <w:rsid w:val="006644D9"/>
    <w:rsid w:val="00676545"/>
    <w:rsid w:val="00676F54"/>
    <w:rsid w:val="006B4206"/>
    <w:rsid w:val="006B6041"/>
    <w:rsid w:val="006C11D7"/>
    <w:rsid w:val="006C6454"/>
    <w:rsid w:val="006E7483"/>
    <w:rsid w:val="006F779A"/>
    <w:rsid w:val="007250B4"/>
    <w:rsid w:val="0074046B"/>
    <w:rsid w:val="00751749"/>
    <w:rsid w:val="00754C50"/>
    <w:rsid w:val="00760C39"/>
    <w:rsid w:val="007B2954"/>
    <w:rsid w:val="007C5435"/>
    <w:rsid w:val="0084492C"/>
    <w:rsid w:val="0087307B"/>
    <w:rsid w:val="00875B9F"/>
    <w:rsid w:val="00896078"/>
    <w:rsid w:val="00896400"/>
    <w:rsid w:val="008A2856"/>
    <w:rsid w:val="008C65DD"/>
    <w:rsid w:val="008F18C0"/>
    <w:rsid w:val="00915FD4"/>
    <w:rsid w:val="009172BD"/>
    <w:rsid w:val="009240B1"/>
    <w:rsid w:val="009270A9"/>
    <w:rsid w:val="00933D97"/>
    <w:rsid w:val="00945A40"/>
    <w:rsid w:val="00946C20"/>
    <w:rsid w:val="009509E8"/>
    <w:rsid w:val="00A04411"/>
    <w:rsid w:val="00A42C09"/>
    <w:rsid w:val="00A4665D"/>
    <w:rsid w:val="00A65882"/>
    <w:rsid w:val="00A70AEC"/>
    <w:rsid w:val="00AC790C"/>
    <w:rsid w:val="00AD09E6"/>
    <w:rsid w:val="00AD0CE5"/>
    <w:rsid w:val="00AD4838"/>
    <w:rsid w:val="00AE07FB"/>
    <w:rsid w:val="00AE53E6"/>
    <w:rsid w:val="00B03CB0"/>
    <w:rsid w:val="00B168C4"/>
    <w:rsid w:val="00B25BFF"/>
    <w:rsid w:val="00B407E2"/>
    <w:rsid w:val="00B41F16"/>
    <w:rsid w:val="00B54E94"/>
    <w:rsid w:val="00B760F9"/>
    <w:rsid w:val="00BA74AB"/>
    <w:rsid w:val="00BC6021"/>
    <w:rsid w:val="00BF4CFE"/>
    <w:rsid w:val="00BF7776"/>
    <w:rsid w:val="00C11D1E"/>
    <w:rsid w:val="00C26F00"/>
    <w:rsid w:val="00C40E1D"/>
    <w:rsid w:val="00C5373E"/>
    <w:rsid w:val="00C616ED"/>
    <w:rsid w:val="00C63FEE"/>
    <w:rsid w:val="00C64798"/>
    <w:rsid w:val="00C6797F"/>
    <w:rsid w:val="00CA0166"/>
    <w:rsid w:val="00CA6525"/>
    <w:rsid w:val="00CB314F"/>
    <w:rsid w:val="00CB3D95"/>
    <w:rsid w:val="00CB4222"/>
    <w:rsid w:val="00CB515C"/>
    <w:rsid w:val="00CE5CB4"/>
    <w:rsid w:val="00CF35F6"/>
    <w:rsid w:val="00D07BF4"/>
    <w:rsid w:val="00D21E75"/>
    <w:rsid w:val="00D30757"/>
    <w:rsid w:val="00D460DA"/>
    <w:rsid w:val="00D810BE"/>
    <w:rsid w:val="00D83C00"/>
    <w:rsid w:val="00D926E9"/>
    <w:rsid w:val="00DA115C"/>
    <w:rsid w:val="00DA7819"/>
    <w:rsid w:val="00DB0973"/>
    <w:rsid w:val="00DC3D3D"/>
    <w:rsid w:val="00DC675F"/>
    <w:rsid w:val="00DD312D"/>
    <w:rsid w:val="00DE700F"/>
    <w:rsid w:val="00E00DED"/>
    <w:rsid w:val="00E31287"/>
    <w:rsid w:val="00E52CAB"/>
    <w:rsid w:val="00E6334C"/>
    <w:rsid w:val="00E63B90"/>
    <w:rsid w:val="00E709EC"/>
    <w:rsid w:val="00E7502D"/>
    <w:rsid w:val="00E86EA7"/>
    <w:rsid w:val="00E94FDD"/>
    <w:rsid w:val="00EA6CEC"/>
    <w:rsid w:val="00EB0F94"/>
    <w:rsid w:val="00EC4551"/>
    <w:rsid w:val="00EC6EEE"/>
    <w:rsid w:val="00ED4E21"/>
    <w:rsid w:val="00ED7EC7"/>
    <w:rsid w:val="00F0597F"/>
    <w:rsid w:val="00F26C02"/>
    <w:rsid w:val="00F30658"/>
    <w:rsid w:val="00F358E9"/>
    <w:rsid w:val="00F42930"/>
    <w:rsid w:val="00F62382"/>
    <w:rsid w:val="00F94847"/>
    <w:rsid w:val="00F97703"/>
    <w:rsid w:val="00FA5D8F"/>
    <w:rsid w:val="00FD4CB1"/>
    <w:rsid w:val="00FD6C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Arial" w:hAnsi="Arial"/>
      <w:noProof/>
      <w:sz w:val="24"/>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rsid w:val="00C64798"/>
    <w:rPr>
      <w:rFonts w:ascii="Courier New" w:hAnsi="Courier New"/>
      <w:noProof w:val="0"/>
      <w:sz w:val="20"/>
      <w:szCs w:val="20"/>
      <w:lang w:eastAsia="nl-NL"/>
    </w:rPr>
  </w:style>
  <w:style w:type="paragraph" w:styleId="Voetnoottekst">
    <w:name w:val="footnote text"/>
    <w:basedOn w:val="Standaard"/>
    <w:link w:val="VoetnoottekstChar"/>
    <w:semiHidden/>
    <w:rsid w:val="003916C2"/>
    <w:rPr>
      <w:sz w:val="20"/>
      <w:szCs w:val="20"/>
    </w:rPr>
  </w:style>
  <w:style w:type="character" w:styleId="Voetnootmarkering">
    <w:name w:val="footnote reference"/>
    <w:semiHidden/>
    <w:rsid w:val="003916C2"/>
    <w:rPr>
      <w:vertAlign w:val="superscript"/>
    </w:rPr>
  </w:style>
  <w:style w:type="paragraph" w:styleId="Voettekst">
    <w:name w:val="footer"/>
    <w:basedOn w:val="Standaard"/>
    <w:link w:val="VoettekstChar"/>
    <w:uiPriority w:val="99"/>
    <w:rsid w:val="001D0110"/>
    <w:pPr>
      <w:tabs>
        <w:tab w:val="center" w:pos="4536"/>
        <w:tab w:val="right" w:pos="9072"/>
      </w:tabs>
    </w:pPr>
  </w:style>
  <w:style w:type="character" w:styleId="Paginanummer">
    <w:name w:val="page number"/>
    <w:basedOn w:val="Standaardalinea-lettertype"/>
    <w:rsid w:val="001D0110"/>
  </w:style>
  <w:style w:type="paragraph" w:styleId="Koptekst">
    <w:name w:val="header"/>
    <w:basedOn w:val="Standaard"/>
    <w:rsid w:val="001D0110"/>
    <w:pPr>
      <w:tabs>
        <w:tab w:val="center" w:pos="4536"/>
        <w:tab w:val="right" w:pos="9072"/>
      </w:tabs>
    </w:pPr>
  </w:style>
  <w:style w:type="paragraph" w:styleId="Ballontekst">
    <w:name w:val="Balloon Text"/>
    <w:basedOn w:val="Standaard"/>
    <w:semiHidden/>
    <w:rsid w:val="00A42C09"/>
    <w:rPr>
      <w:rFonts w:ascii="Tahoma" w:hAnsi="Tahoma" w:cs="Tahoma"/>
      <w:sz w:val="16"/>
      <w:szCs w:val="16"/>
    </w:rPr>
  </w:style>
  <w:style w:type="character" w:styleId="Verwijzingopmerking">
    <w:name w:val="annotation reference"/>
    <w:semiHidden/>
    <w:rsid w:val="00083A14"/>
    <w:rPr>
      <w:sz w:val="16"/>
      <w:szCs w:val="16"/>
    </w:rPr>
  </w:style>
  <w:style w:type="paragraph" w:styleId="Tekstopmerking">
    <w:name w:val="annotation text"/>
    <w:basedOn w:val="Standaard"/>
    <w:semiHidden/>
    <w:rsid w:val="00083A14"/>
    <w:rPr>
      <w:sz w:val="20"/>
      <w:szCs w:val="20"/>
    </w:rPr>
  </w:style>
  <w:style w:type="paragraph" w:styleId="Onderwerpvanopmerking">
    <w:name w:val="annotation subject"/>
    <w:basedOn w:val="Tekstopmerking"/>
    <w:next w:val="Tekstopmerking"/>
    <w:semiHidden/>
    <w:rsid w:val="00083A14"/>
    <w:rPr>
      <w:b/>
      <w:bCs/>
    </w:rPr>
  </w:style>
  <w:style w:type="paragraph" w:customStyle="1" w:styleId="CharChar1Char">
    <w:name w:val="Char Char1 Char"/>
    <w:basedOn w:val="Standaard"/>
    <w:rsid w:val="007B2954"/>
    <w:pPr>
      <w:spacing w:after="160" w:line="240" w:lineRule="exact"/>
    </w:pPr>
    <w:rPr>
      <w:rFonts w:cs="Arial"/>
      <w:noProof w:val="0"/>
      <w:color w:val="000000"/>
      <w:spacing w:val="-5"/>
      <w:sz w:val="20"/>
      <w:szCs w:val="20"/>
    </w:rPr>
  </w:style>
  <w:style w:type="character" w:customStyle="1" w:styleId="VoettekstChar">
    <w:name w:val="Voettekst Char"/>
    <w:link w:val="Voettekst"/>
    <w:uiPriority w:val="99"/>
    <w:rsid w:val="00AD09E6"/>
    <w:rPr>
      <w:rFonts w:ascii="Arial" w:hAnsi="Arial"/>
      <w:noProof/>
      <w:sz w:val="24"/>
      <w:szCs w:val="24"/>
      <w:lang w:eastAsia="en-US"/>
    </w:rPr>
  </w:style>
  <w:style w:type="character" w:customStyle="1" w:styleId="VoetnoottekstChar">
    <w:name w:val="Voetnoottekst Char"/>
    <w:link w:val="Voetnoottekst"/>
    <w:semiHidden/>
    <w:rsid w:val="00AD09E6"/>
    <w:rPr>
      <w:rFonts w:ascii="Arial" w:hAnsi="Arial"/>
      <w:noProof/>
      <w:lang w:eastAsia="en-US"/>
    </w:rPr>
  </w:style>
  <w:style w:type="character" w:styleId="Hyperlink">
    <w:name w:val="Hyperlink"/>
    <w:rsid w:val="00AD09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Arial" w:hAnsi="Arial"/>
      <w:noProof/>
      <w:sz w:val="24"/>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rsid w:val="00C64798"/>
    <w:rPr>
      <w:rFonts w:ascii="Courier New" w:hAnsi="Courier New"/>
      <w:noProof w:val="0"/>
      <w:sz w:val="20"/>
      <w:szCs w:val="20"/>
      <w:lang w:eastAsia="nl-NL"/>
    </w:rPr>
  </w:style>
  <w:style w:type="paragraph" w:styleId="Voetnoottekst">
    <w:name w:val="footnote text"/>
    <w:basedOn w:val="Standaard"/>
    <w:link w:val="VoetnoottekstChar"/>
    <w:semiHidden/>
    <w:rsid w:val="003916C2"/>
    <w:rPr>
      <w:sz w:val="20"/>
      <w:szCs w:val="20"/>
    </w:rPr>
  </w:style>
  <w:style w:type="character" w:styleId="Voetnootmarkering">
    <w:name w:val="footnote reference"/>
    <w:semiHidden/>
    <w:rsid w:val="003916C2"/>
    <w:rPr>
      <w:vertAlign w:val="superscript"/>
    </w:rPr>
  </w:style>
  <w:style w:type="paragraph" w:styleId="Voettekst">
    <w:name w:val="footer"/>
    <w:basedOn w:val="Standaard"/>
    <w:link w:val="VoettekstChar"/>
    <w:uiPriority w:val="99"/>
    <w:rsid w:val="001D0110"/>
    <w:pPr>
      <w:tabs>
        <w:tab w:val="center" w:pos="4536"/>
        <w:tab w:val="right" w:pos="9072"/>
      </w:tabs>
    </w:pPr>
  </w:style>
  <w:style w:type="character" w:styleId="Paginanummer">
    <w:name w:val="page number"/>
    <w:basedOn w:val="Standaardalinea-lettertype"/>
    <w:rsid w:val="001D0110"/>
  </w:style>
  <w:style w:type="paragraph" w:styleId="Koptekst">
    <w:name w:val="header"/>
    <w:basedOn w:val="Standaard"/>
    <w:rsid w:val="001D0110"/>
    <w:pPr>
      <w:tabs>
        <w:tab w:val="center" w:pos="4536"/>
        <w:tab w:val="right" w:pos="9072"/>
      </w:tabs>
    </w:pPr>
  </w:style>
  <w:style w:type="paragraph" w:styleId="Ballontekst">
    <w:name w:val="Balloon Text"/>
    <w:basedOn w:val="Standaard"/>
    <w:semiHidden/>
    <w:rsid w:val="00A42C09"/>
    <w:rPr>
      <w:rFonts w:ascii="Tahoma" w:hAnsi="Tahoma" w:cs="Tahoma"/>
      <w:sz w:val="16"/>
      <w:szCs w:val="16"/>
    </w:rPr>
  </w:style>
  <w:style w:type="character" w:styleId="Verwijzingopmerking">
    <w:name w:val="annotation reference"/>
    <w:semiHidden/>
    <w:rsid w:val="00083A14"/>
    <w:rPr>
      <w:sz w:val="16"/>
      <w:szCs w:val="16"/>
    </w:rPr>
  </w:style>
  <w:style w:type="paragraph" w:styleId="Tekstopmerking">
    <w:name w:val="annotation text"/>
    <w:basedOn w:val="Standaard"/>
    <w:semiHidden/>
    <w:rsid w:val="00083A14"/>
    <w:rPr>
      <w:sz w:val="20"/>
      <w:szCs w:val="20"/>
    </w:rPr>
  </w:style>
  <w:style w:type="paragraph" w:styleId="Onderwerpvanopmerking">
    <w:name w:val="annotation subject"/>
    <w:basedOn w:val="Tekstopmerking"/>
    <w:next w:val="Tekstopmerking"/>
    <w:semiHidden/>
    <w:rsid w:val="00083A14"/>
    <w:rPr>
      <w:b/>
      <w:bCs/>
    </w:rPr>
  </w:style>
  <w:style w:type="paragraph" w:customStyle="1" w:styleId="CharChar1Char">
    <w:name w:val="Char Char1 Char"/>
    <w:basedOn w:val="Standaard"/>
    <w:rsid w:val="007B2954"/>
    <w:pPr>
      <w:spacing w:after="160" w:line="240" w:lineRule="exact"/>
    </w:pPr>
    <w:rPr>
      <w:rFonts w:cs="Arial"/>
      <w:noProof w:val="0"/>
      <w:color w:val="000000"/>
      <w:spacing w:val="-5"/>
      <w:sz w:val="20"/>
      <w:szCs w:val="20"/>
    </w:rPr>
  </w:style>
  <w:style w:type="character" w:customStyle="1" w:styleId="VoettekstChar">
    <w:name w:val="Voettekst Char"/>
    <w:link w:val="Voettekst"/>
    <w:uiPriority w:val="99"/>
    <w:rsid w:val="00AD09E6"/>
    <w:rPr>
      <w:rFonts w:ascii="Arial" w:hAnsi="Arial"/>
      <w:noProof/>
      <w:sz w:val="24"/>
      <w:szCs w:val="24"/>
      <w:lang w:eastAsia="en-US"/>
    </w:rPr>
  </w:style>
  <w:style w:type="character" w:customStyle="1" w:styleId="VoetnoottekstChar">
    <w:name w:val="Voetnoottekst Char"/>
    <w:link w:val="Voetnoottekst"/>
    <w:semiHidden/>
    <w:rsid w:val="00AD09E6"/>
    <w:rPr>
      <w:rFonts w:ascii="Arial" w:hAnsi="Arial"/>
      <w:noProof/>
      <w:lang w:eastAsia="en-US"/>
    </w:rPr>
  </w:style>
  <w:style w:type="character" w:styleId="Hyperlink">
    <w:name w:val="Hyperlink"/>
    <w:rsid w:val="00AD09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50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nternetconsultatie.nl"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ctal.nl/alternatieven/introducti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1464</Words>
  <Characters>8054</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Wijziging van de Algemene wet bestuursrecht en aanverwante wetten met het oog op enige verbeteringen en vereenvoudigingen van het bestuursprocesrecht (Wet aanpassing bestuursprocesrecht)</vt:lpstr>
    </vt:vector>
  </TitlesOfParts>
  <Company>Ministerie van Justitie</Company>
  <LinksUpToDate>false</LinksUpToDate>
  <CharactersWithSpaces>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Wijziging van de Algemene wet bestuursrecht en aanverwante wetten met het oog op enige verbeteringen en vereenvoudigingen van het bestuursprocesrecht (Wet aanpassing bestuursprocesrecht)</dc:title>
  <dc:creator>Coen van Reeken</dc:creator>
  <cp:lastModifiedBy>Jap Tjoen San, mw.</cp:lastModifiedBy>
  <cp:revision>2</cp:revision>
  <cp:lastPrinted>2011-11-04T09:36:00Z</cp:lastPrinted>
  <dcterms:created xsi:type="dcterms:W3CDTF">2014-07-21T07:28:00Z</dcterms:created>
  <dcterms:modified xsi:type="dcterms:W3CDTF">2014-07-21T07:28:00Z</dcterms:modified>
</cp:coreProperties>
</file>