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284" w:rsidRPr="00C9093F" w:rsidRDefault="00595284" w:rsidP="00295DDD">
      <w:pPr>
        <w:spacing w:line="280" w:lineRule="exact"/>
        <w:rPr>
          <w:szCs w:val="18"/>
        </w:rPr>
        <w:sectPr w:rsidR="00595284" w:rsidRPr="00C9093F" w:rsidSect="005A797F">
          <w:headerReference w:type="even" r:id="rId9"/>
          <w:headerReference w:type="default" r:id="rId10"/>
          <w:footerReference w:type="even" r:id="rId11"/>
          <w:footerReference w:type="default" r:id="rId12"/>
          <w:headerReference w:type="first" r:id="rId13"/>
          <w:footerReference w:type="first" r:id="rId14"/>
          <w:pgSz w:w="11907" w:h="16840" w:code="9"/>
          <w:pgMar w:top="4933" w:right="1758" w:bottom="1361" w:left="2041" w:header="709" w:footer="1113" w:gutter="0"/>
          <w:cols w:space="708"/>
          <w:formProt w:val="0"/>
          <w:titlePg/>
          <w:docGrid w:linePitch="272"/>
        </w:sectPr>
      </w:pPr>
    </w:p>
    <w:p w:rsidR="00067750" w:rsidRPr="00C9093F" w:rsidRDefault="00067750" w:rsidP="00295DDD">
      <w:pPr>
        <w:spacing w:line="280" w:lineRule="exact"/>
        <w:rPr>
          <w:b/>
          <w:szCs w:val="18"/>
        </w:rPr>
      </w:pPr>
      <w:r w:rsidRPr="00C9093F">
        <w:rPr>
          <w:b/>
          <w:szCs w:val="18"/>
        </w:rPr>
        <w:lastRenderedPageBreak/>
        <w:t>Besluit van</w:t>
      </w:r>
    </w:p>
    <w:p w:rsidR="00067750" w:rsidRPr="00C9093F" w:rsidRDefault="00067750" w:rsidP="00295DDD">
      <w:pPr>
        <w:spacing w:line="280" w:lineRule="exact"/>
        <w:rPr>
          <w:b/>
          <w:szCs w:val="18"/>
        </w:rPr>
      </w:pPr>
      <w:proofErr w:type="gramStart"/>
      <w:r w:rsidRPr="00C9093F">
        <w:rPr>
          <w:b/>
          <w:szCs w:val="18"/>
        </w:rPr>
        <w:t>houdende</w:t>
      </w:r>
      <w:proofErr w:type="gramEnd"/>
      <w:r w:rsidRPr="00C9093F">
        <w:rPr>
          <w:b/>
          <w:szCs w:val="18"/>
        </w:rPr>
        <w:t xml:space="preserve"> wijziging van het Besluit begroting en verantwoording provincies en gemeenten in verband met de rapportageverplichting over het drempelbedrag bij het verplicht </w:t>
      </w:r>
      <w:bookmarkStart w:id="0" w:name="_GoBack"/>
      <w:r w:rsidRPr="00C9093F">
        <w:rPr>
          <w:b/>
          <w:szCs w:val="18"/>
        </w:rPr>
        <w:t xml:space="preserve">schatkistbankieren en een verduidelijking van de informatieverplichting </w:t>
      </w:r>
      <w:bookmarkEnd w:id="0"/>
      <w:r w:rsidRPr="00C9093F">
        <w:rPr>
          <w:b/>
          <w:szCs w:val="18"/>
        </w:rPr>
        <w:t xml:space="preserve">over verbonden partijen </w:t>
      </w:r>
    </w:p>
    <w:tbl>
      <w:tblPr>
        <w:tblW w:w="8770" w:type="dxa"/>
        <w:tblLayout w:type="fixed"/>
        <w:tblCellMar>
          <w:left w:w="70" w:type="dxa"/>
          <w:right w:w="70" w:type="dxa"/>
        </w:tblCellMar>
        <w:tblLook w:val="0000" w:firstRow="0" w:lastRow="0" w:firstColumn="0" w:lastColumn="0" w:noHBand="0" w:noVBand="0"/>
      </w:tblPr>
      <w:tblGrid>
        <w:gridCol w:w="8770"/>
      </w:tblGrid>
      <w:tr w:rsidR="00067750" w:rsidRPr="00C9093F" w:rsidTr="007F1EE6">
        <w:tc>
          <w:tcPr>
            <w:tcW w:w="8770" w:type="dxa"/>
          </w:tcPr>
          <w:p w:rsidR="00067750" w:rsidRPr="00C9093F" w:rsidRDefault="00067750" w:rsidP="00295DDD">
            <w:pPr>
              <w:spacing w:line="280" w:lineRule="exact"/>
              <w:rPr>
                <w:szCs w:val="18"/>
              </w:rPr>
            </w:pPr>
          </w:p>
        </w:tc>
      </w:tr>
    </w:tbl>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Op de voordracht van </w:t>
      </w:r>
    </w:p>
    <w:p w:rsidR="00067750" w:rsidRPr="00C9093F" w:rsidRDefault="00067750" w:rsidP="00295DDD">
      <w:pPr>
        <w:spacing w:line="280" w:lineRule="exact"/>
        <w:rPr>
          <w:szCs w:val="18"/>
        </w:rPr>
      </w:pPr>
      <w:r w:rsidRPr="00C9093F">
        <w:rPr>
          <w:szCs w:val="18"/>
        </w:rPr>
        <w:t xml:space="preserve">Onze Minister van Binnenlandse Zaken en Koninkrijksrelaties van (datum, nummer); </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Gelet op artikel 190, eerste en tweede lid, van de Provinciewet en artikel 186, eerste en tweede lid, van de Gemeentewet;</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De Afdeling advisering van de Raad van State gehoord (advies van </w:t>
      </w:r>
      <w:proofErr w:type="gramStart"/>
      <w:r w:rsidRPr="00C9093F">
        <w:rPr>
          <w:szCs w:val="18"/>
        </w:rPr>
        <w:t>(</w:t>
      </w:r>
      <w:proofErr w:type="gramEnd"/>
      <w:r w:rsidRPr="00C9093F">
        <w:rPr>
          <w:szCs w:val="18"/>
        </w:rPr>
        <w:t>datum, nummer));</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Gezien het nader rapport van Onze Minister van Binnenlandse Zaken en Koninkrijksrelaties van (datum, nummer);</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Hebben goedgevonden en verstaan: </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b/>
          <w:szCs w:val="18"/>
        </w:rPr>
      </w:pPr>
      <w:r w:rsidRPr="00C9093F">
        <w:rPr>
          <w:b/>
          <w:szCs w:val="18"/>
        </w:rPr>
        <w:t>Artikel I</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Het Besluit begroting en verantwoording provincies en gemeenten wordt als volgt gewijzigd:</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A</w:t>
      </w:r>
    </w:p>
    <w:p w:rsidR="00067750" w:rsidRPr="00C9093F" w:rsidRDefault="00067750" w:rsidP="00295DDD">
      <w:pPr>
        <w:spacing w:line="280" w:lineRule="exact"/>
        <w:rPr>
          <w:szCs w:val="18"/>
        </w:rPr>
      </w:pPr>
    </w:p>
    <w:p w:rsidR="00067750" w:rsidRPr="00C9093F" w:rsidRDefault="00067750" w:rsidP="00295DDD">
      <w:pPr>
        <w:spacing w:line="280" w:lineRule="exact"/>
        <w:rPr>
          <w:rFonts w:eastAsia="Times New Roman" w:cs="Times New Roman"/>
          <w:szCs w:val="18"/>
          <w:lang w:eastAsia="nl-NL"/>
        </w:rPr>
      </w:pPr>
      <w:r w:rsidRPr="00C9093F">
        <w:rPr>
          <w:rFonts w:eastAsia="Times New Roman" w:cs="Times New Roman"/>
          <w:szCs w:val="18"/>
          <w:lang w:eastAsia="nl-NL"/>
        </w:rPr>
        <w:t>In artikel 15, tweede lid, wordt als volgt gewijzigd</w:t>
      </w:r>
      <w:proofErr w:type="gramStart"/>
      <w:r w:rsidRPr="00C9093F">
        <w:rPr>
          <w:rFonts w:eastAsia="Times New Roman" w:cs="Times New Roman"/>
          <w:szCs w:val="18"/>
          <w:lang w:eastAsia="nl-NL"/>
        </w:rPr>
        <w:t>:</w:t>
      </w:r>
      <w:r w:rsidRPr="00C9093F">
        <w:rPr>
          <w:rFonts w:eastAsia="Times New Roman" w:cs="Times New Roman"/>
          <w:szCs w:val="18"/>
          <w:lang w:eastAsia="nl-NL"/>
        </w:rPr>
        <w:br/>
      </w:r>
      <w:proofErr w:type="gramEnd"/>
    </w:p>
    <w:p w:rsidR="00067750" w:rsidRPr="00C9093F" w:rsidRDefault="00067750" w:rsidP="00295DDD">
      <w:pPr>
        <w:pStyle w:val="Lijstalinea"/>
        <w:numPr>
          <w:ilvl w:val="0"/>
          <w:numId w:val="20"/>
        </w:numPr>
        <w:spacing w:line="280" w:lineRule="exact"/>
        <w:rPr>
          <w:rFonts w:eastAsia="Times New Roman" w:cs="Times New Roman"/>
          <w:szCs w:val="18"/>
          <w:lang w:eastAsia="nl-NL"/>
        </w:rPr>
      </w:pPr>
      <w:r w:rsidRPr="00C9093F">
        <w:rPr>
          <w:rFonts w:eastAsia="Times New Roman" w:cs="Times New Roman"/>
          <w:szCs w:val="18"/>
          <w:lang w:eastAsia="nl-NL"/>
        </w:rPr>
        <w:t>Onderdeel c komt te luiden:</w:t>
      </w:r>
      <w:r w:rsidRPr="00C9093F">
        <w:rPr>
          <w:rFonts w:eastAsia="Times New Roman" w:cs="Times New Roman"/>
          <w:szCs w:val="18"/>
          <w:lang w:eastAsia="nl-NL"/>
        </w:rPr>
        <w:br/>
      </w:r>
      <w:r w:rsidRPr="00C9093F">
        <w:rPr>
          <w:rFonts w:eastAsia="Times New Roman" w:cs="Times New Roman"/>
          <w:szCs w:val="18"/>
          <w:lang w:eastAsia="nl-NL"/>
        </w:rPr>
        <w:br/>
        <w:t xml:space="preserve">c. </w:t>
      </w:r>
      <w:r w:rsidRPr="00C9093F">
        <w:rPr>
          <w:rFonts w:cs="Arial"/>
          <w:szCs w:val="18"/>
        </w:rPr>
        <w:t>het belang dat de provincie onderscheidenlijk de gemeente in de verbonden partij heeft aan het begin en de verwachte omvang aan het einde van het begrotingsjaar</w:t>
      </w:r>
      <w:proofErr w:type="gramStart"/>
      <w:r w:rsidRPr="00C9093F">
        <w:rPr>
          <w:rFonts w:cs="Arial"/>
          <w:szCs w:val="18"/>
        </w:rPr>
        <w:t>;</w:t>
      </w:r>
      <w:r w:rsidRPr="00C9093F">
        <w:rPr>
          <w:rFonts w:cs="Arial"/>
          <w:szCs w:val="18"/>
        </w:rPr>
        <w:br/>
      </w:r>
      <w:proofErr w:type="gramEnd"/>
    </w:p>
    <w:p w:rsidR="00067750" w:rsidRPr="00C9093F" w:rsidRDefault="00067750" w:rsidP="00295DDD">
      <w:pPr>
        <w:pStyle w:val="Lijstalinea"/>
        <w:numPr>
          <w:ilvl w:val="0"/>
          <w:numId w:val="20"/>
        </w:numPr>
        <w:spacing w:line="280" w:lineRule="exact"/>
        <w:rPr>
          <w:rFonts w:eastAsia="Times New Roman" w:cs="Times New Roman"/>
          <w:szCs w:val="18"/>
          <w:lang w:eastAsia="nl-NL"/>
        </w:rPr>
      </w:pPr>
      <w:r w:rsidRPr="00C9093F">
        <w:rPr>
          <w:rFonts w:eastAsia="Times New Roman" w:cs="Times New Roman"/>
          <w:szCs w:val="18"/>
          <w:lang w:eastAsia="nl-NL"/>
        </w:rPr>
        <w:lastRenderedPageBreak/>
        <w:t>In onderdeel d wordt aan het begin van de zinsnede ingevoegd: de verwachte omvang van.</w:t>
      </w:r>
      <w:r w:rsidRPr="00C9093F">
        <w:rPr>
          <w:rFonts w:eastAsia="Times New Roman" w:cs="Times New Roman"/>
          <w:szCs w:val="18"/>
          <w:lang w:eastAsia="nl-NL"/>
        </w:rPr>
        <w:br/>
      </w:r>
    </w:p>
    <w:p w:rsidR="00067750" w:rsidRPr="00C9093F" w:rsidRDefault="00067750" w:rsidP="00295DDD">
      <w:pPr>
        <w:pStyle w:val="Lijstalinea"/>
        <w:numPr>
          <w:ilvl w:val="0"/>
          <w:numId w:val="20"/>
        </w:numPr>
        <w:spacing w:line="280" w:lineRule="exact"/>
        <w:rPr>
          <w:rFonts w:eastAsia="Times New Roman" w:cs="Times New Roman"/>
          <w:szCs w:val="18"/>
          <w:lang w:eastAsia="nl-NL"/>
        </w:rPr>
      </w:pPr>
      <w:r w:rsidRPr="00C9093F">
        <w:rPr>
          <w:rFonts w:eastAsia="Times New Roman" w:cs="Times New Roman"/>
          <w:szCs w:val="18"/>
          <w:lang w:eastAsia="nl-NL"/>
        </w:rPr>
        <w:t>Onderdeel e komt te luiden</w:t>
      </w:r>
      <w:proofErr w:type="gramStart"/>
      <w:r w:rsidRPr="00C9093F">
        <w:rPr>
          <w:rFonts w:eastAsia="Times New Roman" w:cs="Times New Roman"/>
          <w:szCs w:val="18"/>
          <w:lang w:eastAsia="nl-NL"/>
        </w:rPr>
        <w:t>:</w:t>
      </w:r>
      <w:r w:rsidRPr="00C9093F">
        <w:rPr>
          <w:rFonts w:eastAsia="Times New Roman" w:cs="Times New Roman"/>
          <w:szCs w:val="18"/>
          <w:lang w:eastAsia="nl-NL"/>
        </w:rPr>
        <w:br/>
      </w:r>
      <w:r w:rsidRPr="00C9093F">
        <w:rPr>
          <w:rFonts w:eastAsia="Times New Roman" w:cs="Times New Roman"/>
          <w:szCs w:val="18"/>
          <w:lang w:eastAsia="nl-NL"/>
        </w:rPr>
        <w:br/>
        <w:t>e.</w:t>
      </w:r>
      <w:proofErr w:type="gramEnd"/>
      <w:r w:rsidRPr="00C9093F">
        <w:rPr>
          <w:rFonts w:eastAsia="Times New Roman" w:cs="Times New Roman"/>
          <w:szCs w:val="18"/>
          <w:lang w:eastAsia="nl-NL"/>
        </w:rPr>
        <w:t xml:space="preserve"> </w:t>
      </w:r>
      <w:r w:rsidRPr="00C9093F">
        <w:rPr>
          <w:rFonts w:cs="Arial"/>
          <w:szCs w:val="18"/>
        </w:rPr>
        <w:t>de verwachte omvang van het financiële resultaat van de verbonden partij in het begrotingsjaar.</w:t>
      </w:r>
      <w:r w:rsidRPr="00C9093F">
        <w:rPr>
          <w:rFonts w:eastAsia="Times New Roman" w:cs="Times New Roman"/>
          <w:szCs w:val="18"/>
          <w:lang w:eastAsia="nl-NL"/>
        </w:rPr>
        <w:br/>
      </w:r>
    </w:p>
    <w:p w:rsidR="00067750" w:rsidRPr="00C9093F" w:rsidRDefault="00067750" w:rsidP="00295DDD">
      <w:pPr>
        <w:spacing w:line="280" w:lineRule="exact"/>
        <w:rPr>
          <w:szCs w:val="18"/>
        </w:rPr>
      </w:pPr>
      <w:r w:rsidRPr="00C9093F">
        <w:rPr>
          <w:szCs w:val="18"/>
        </w:rPr>
        <w:t>B</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Na artikel 52b wordt een artikel ingevoegd, dat luidt:</w:t>
      </w:r>
    </w:p>
    <w:p w:rsidR="00067750" w:rsidRPr="00C9093F" w:rsidRDefault="00067750" w:rsidP="00295DDD">
      <w:pPr>
        <w:spacing w:line="280" w:lineRule="exact"/>
        <w:rPr>
          <w:szCs w:val="18"/>
        </w:rPr>
      </w:pPr>
    </w:p>
    <w:p w:rsidR="00067750" w:rsidRPr="00C9093F" w:rsidRDefault="00067750" w:rsidP="00295DDD">
      <w:pPr>
        <w:spacing w:line="280" w:lineRule="exact"/>
        <w:ind w:firstLine="708"/>
        <w:rPr>
          <w:b/>
          <w:szCs w:val="18"/>
        </w:rPr>
      </w:pPr>
      <w:r w:rsidRPr="00C9093F">
        <w:rPr>
          <w:b/>
          <w:szCs w:val="18"/>
        </w:rPr>
        <w:t>Artikel 52c</w:t>
      </w:r>
    </w:p>
    <w:p w:rsidR="00067750" w:rsidRPr="00C9093F" w:rsidRDefault="00067750" w:rsidP="00295DDD">
      <w:pPr>
        <w:spacing w:line="280" w:lineRule="exact"/>
        <w:ind w:firstLine="708"/>
        <w:rPr>
          <w:szCs w:val="18"/>
        </w:rPr>
      </w:pPr>
    </w:p>
    <w:p w:rsidR="009D6497" w:rsidRDefault="00067750" w:rsidP="00295DDD">
      <w:pPr>
        <w:pStyle w:val="Lijstalinea"/>
        <w:spacing w:line="280" w:lineRule="exact"/>
        <w:rPr>
          <w:rFonts w:cs="Arial"/>
          <w:szCs w:val="18"/>
        </w:rPr>
      </w:pPr>
      <w:r w:rsidRPr="00C9093F">
        <w:rPr>
          <w:rFonts w:cs="Arial"/>
          <w:szCs w:val="18"/>
        </w:rPr>
        <w:t>In de toelichting op de balans wordt vermeld</w:t>
      </w:r>
      <w:r w:rsidR="009D6497">
        <w:rPr>
          <w:rFonts w:cs="Arial"/>
          <w:szCs w:val="18"/>
        </w:rPr>
        <w:t>:</w:t>
      </w:r>
    </w:p>
    <w:p w:rsidR="009D6497" w:rsidRDefault="007728BD" w:rsidP="009D6497">
      <w:pPr>
        <w:pStyle w:val="Lijstalinea"/>
        <w:numPr>
          <w:ilvl w:val="0"/>
          <w:numId w:val="21"/>
        </w:numPr>
        <w:spacing w:line="280" w:lineRule="exact"/>
        <w:rPr>
          <w:rFonts w:cs="Arial"/>
          <w:szCs w:val="18"/>
        </w:rPr>
      </w:pPr>
      <w:r>
        <w:rPr>
          <w:rFonts w:cs="Arial"/>
          <w:szCs w:val="18"/>
        </w:rPr>
        <w:t xml:space="preserve">het drempelbedrag </w:t>
      </w:r>
      <w:r w:rsidR="009D6497" w:rsidRPr="00C9093F">
        <w:rPr>
          <w:rFonts w:cs="Arial"/>
          <w:szCs w:val="18"/>
        </w:rPr>
        <w:t>voor het begrotingsjaar waarove</w:t>
      </w:r>
      <w:r w:rsidR="009D6497">
        <w:rPr>
          <w:rFonts w:cs="Arial"/>
          <w:szCs w:val="18"/>
        </w:rPr>
        <w:t>r verantwoording wordt afgelegd;</w:t>
      </w:r>
      <w:r w:rsidR="00067750" w:rsidRPr="00C9093F">
        <w:rPr>
          <w:rFonts w:cs="Arial"/>
          <w:szCs w:val="18"/>
        </w:rPr>
        <w:t xml:space="preserve"> en</w:t>
      </w:r>
    </w:p>
    <w:p w:rsidR="00067750" w:rsidRPr="00C9093F" w:rsidRDefault="006F282C" w:rsidP="009D6497">
      <w:pPr>
        <w:pStyle w:val="Lijstalinea"/>
        <w:numPr>
          <w:ilvl w:val="0"/>
          <w:numId w:val="21"/>
        </w:numPr>
        <w:spacing w:line="280" w:lineRule="exact"/>
        <w:rPr>
          <w:rFonts w:cs="Arial"/>
          <w:szCs w:val="18"/>
        </w:rPr>
      </w:pPr>
      <w:r>
        <w:rPr>
          <w:rFonts w:cs="Arial"/>
          <w:szCs w:val="18"/>
        </w:rPr>
        <w:t xml:space="preserve">voor ieder kwartaal van </w:t>
      </w:r>
      <w:r w:rsidR="00D11387">
        <w:rPr>
          <w:rFonts w:cs="Arial"/>
          <w:szCs w:val="18"/>
        </w:rPr>
        <w:t xml:space="preserve">dat jaar, </w:t>
      </w:r>
      <w:r w:rsidR="007728BD" w:rsidRPr="00C9093F">
        <w:rPr>
          <w:rFonts w:cs="Arial"/>
          <w:szCs w:val="18"/>
        </w:rPr>
        <w:t xml:space="preserve">het bedrag aan middelen, bedoeld in artikel 2, vierde lid, </w:t>
      </w:r>
      <w:r w:rsidR="007728BD">
        <w:rPr>
          <w:rFonts w:cs="Arial"/>
          <w:szCs w:val="18"/>
        </w:rPr>
        <w:t xml:space="preserve">van de </w:t>
      </w:r>
      <w:r w:rsidR="007728BD" w:rsidRPr="00C9093F">
        <w:rPr>
          <w:rFonts w:cs="Arial"/>
          <w:szCs w:val="18"/>
        </w:rPr>
        <w:t>Wet financiering decentrale overheden, d</w:t>
      </w:r>
      <w:r w:rsidR="007728BD">
        <w:rPr>
          <w:rFonts w:cs="Arial"/>
          <w:szCs w:val="18"/>
        </w:rPr>
        <w:t xml:space="preserve">at </w:t>
      </w:r>
      <w:r w:rsidR="007728BD" w:rsidRPr="00C9093F">
        <w:rPr>
          <w:rFonts w:cs="Arial"/>
          <w:szCs w:val="18"/>
        </w:rPr>
        <w:t>in het kader van het drempelbedrag</w:t>
      </w:r>
      <w:r w:rsidR="007728BD" w:rsidRPr="00A63D78">
        <w:rPr>
          <w:rFonts w:cs="Arial"/>
          <w:szCs w:val="18"/>
        </w:rPr>
        <w:t xml:space="preserve"> </w:t>
      </w:r>
      <w:r w:rsidR="007728BD" w:rsidRPr="00C9093F">
        <w:rPr>
          <w:rFonts w:cs="Arial"/>
          <w:szCs w:val="18"/>
        </w:rPr>
        <w:t xml:space="preserve">door de provincie onderscheidenlijk de gemeente buiten ’s Rijks schatkist </w:t>
      </w:r>
      <w:r w:rsidR="002A034B">
        <w:rPr>
          <w:rFonts w:cs="Arial"/>
          <w:szCs w:val="18"/>
        </w:rPr>
        <w:t>is</w:t>
      </w:r>
      <w:r w:rsidR="002A034B" w:rsidRPr="00C9093F">
        <w:rPr>
          <w:rFonts w:cs="Arial"/>
          <w:szCs w:val="18"/>
        </w:rPr>
        <w:t xml:space="preserve"> </w:t>
      </w:r>
      <w:r w:rsidR="007728BD" w:rsidRPr="00C9093F">
        <w:rPr>
          <w:rFonts w:cs="Arial"/>
          <w:szCs w:val="18"/>
        </w:rPr>
        <w:t>aangehouden</w:t>
      </w:r>
      <w:r w:rsidR="00D11387">
        <w:rPr>
          <w:rFonts w:cs="Arial"/>
          <w:szCs w:val="18"/>
        </w:rPr>
        <w:t>.</w:t>
      </w:r>
    </w:p>
    <w:p w:rsidR="00067750" w:rsidRPr="00C9093F" w:rsidRDefault="00067750" w:rsidP="00295DDD">
      <w:pPr>
        <w:spacing w:line="280" w:lineRule="exact"/>
        <w:rPr>
          <w:rFonts w:cs="Arial"/>
          <w:color w:val="000000" w:themeColor="text1"/>
          <w:szCs w:val="18"/>
        </w:rPr>
      </w:pPr>
    </w:p>
    <w:p w:rsidR="00067750" w:rsidRPr="00C9093F" w:rsidRDefault="00067750" w:rsidP="00295DDD">
      <w:pPr>
        <w:spacing w:line="280" w:lineRule="exact"/>
        <w:rPr>
          <w:b/>
          <w:szCs w:val="18"/>
        </w:rPr>
      </w:pPr>
      <w:r w:rsidRPr="00C9093F">
        <w:rPr>
          <w:b/>
          <w:szCs w:val="18"/>
        </w:rPr>
        <w:t>Artikel II</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Op de inrichting van de jaarrekening, het jaarverslag en de productenrealisatie van provincies, gemeenten en andere openbare lichamen of gemeenschappelijke organen als bedoeld in artikel 8 van de Wet gemeenschappelijke regelingen met betrekking tot het jaar 2013 is het Besluit begroting en verantwoording provincies en gemeenten van toepassing zoals dat luidde voor de inwerkingtreding van dit besluit.</w:t>
      </w:r>
    </w:p>
    <w:p w:rsidR="00067750" w:rsidRPr="00C9093F" w:rsidRDefault="00067750" w:rsidP="00295DDD">
      <w:pPr>
        <w:spacing w:line="280" w:lineRule="exact"/>
        <w:rPr>
          <w:b/>
          <w:szCs w:val="18"/>
        </w:rPr>
      </w:pPr>
    </w:p>
    <w:p w:rsidR="00067750" w:rsidRPr="00C9093F" w:rsidRDefault="00067750" w:rsidP="00295DDD">
      <w:pPr>
        <w:spacing w:line="280" w:lineRule="exact"/>
        <w:rPr>
          <w:b/>
          <w:szCs w:val="18"/>
        </w:rPr>
      </w:pPr>
    </w:p>
    <w:p w:rsidR="00067750" w:rsidRPr="00C9093F" w:rsidRDefault="00067750" w:rsidP="00295DDD">
      <w:pPr>
        <w:spacing w:line="280" w:lineRule="exact"/>
        <w:rPr>
          <w:b/>
          <w:szCs w:val="18"/>
        </w:rPr>
      </w:pPr>
      <w:r w:rsidRPr="00C9093F">
        <w:rPr>
          <w:b/>
          <w:szCs w:val="18"/>
        </w:rPr>
        <w:t>Artikel III</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rFonts w:eastAsia="Arial Unicode MS" w:cs="Arial"/>
          <w:szCs w:val="18"/>
        </w:rPr>
        <w:t>Dit besluit treedt in werking met ingang van de dag na de datum van uitgifte van het Staatsblad waarin het wordt geplaatst.</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Lasten en bevelen dat dit besluit met de daarbij behorende nota van toelichting in het Staatsblad zal worden geplaatst.</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De </w:t>
      </w:r>
      <w:r w:rsidR="008111A4">
        <w:rPr>
          <w:szCs w:val="18"/>
        </w:rPr>
        <w:t>m</w:t>
      </w:r>
      <w:r w:rsidRPr="00C9093F">
        <w:rPr>
          <w:szCs w:val="18"/>
        </w:rPr>
        <w:t>inister van Binnenlandse Zaken en Koninkrijksrelaties,</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proofErr w:type="gramStart"/>
      <w:r w:rsidRPr="00C9093F">
        <w:rPr>
          <w:szCs w:val="18"/>
        </w:rPr>
        <w:t>dr.</w:t>
      </w:r>
      <w:proofErr w:type="gramEnd"/>
      <w:r w:rsidRPr="00C9093F">
        <w:rPr>
          <w:szCs w:val="18"/>
        </w:rPr>
        <w:t xml:space="preserve"> R.H.A. Plasterk</w:t>
      </w:r>
    </w:p>
    <w:p w:rsidR="00067750" w:rsidRPr="003A0532" w:rsidRDefault="00067750" w:rsidP="003A0532">
      <w:pPr>
        <w:rPr>
          <w:b/>
          <w:sz w:val="24"/>
          <w:szCs w:val="24"/>
        </w:rPr>
      </w:pPr>
      <w:r w:rsidRPr="003A0532">
        <w:rPr>
          <w:b/>
          <w:sz w:val="24"/>
          <w:szCs w:val="24"/>
        </w:rPr>
        <w:lastRenderedPageBreak/>
        <w:t>Nota van toelichting</w:t>
      </w:r>
    </w:p>
    <w:p w:rsidR="00067750" w:rsidRPr="00C9093F" w:rsidRDefault="00067750" w:rsidP="00295DDD">
      <w:pPr>
        <w:spacing w:line="280" w:lineRule="exact"/>
        <w:rPr>
          <w:szCs w:val="18"/>
        </w:rPr>
      </w:pPr>
    </w:p>
    <w:p w:rsidR="00067750" w:rsidRPr="00C9093F" w:rsidRDefault="00067750" w:rsidP="00295DDD">
      <w:pPr>
        <w:spacing w:line="280" w:lineRule="exact"/>
        <w:rPr>
          <w:b/>
          <w:szCs w:val="18"/>
        </w:rPr>
      </w:pPr>
      <w:r w:rsidRPr="00C9093F">
        <w:rPr>
          <w:b/>
          <w:szCs w:val="18"/>
        </w:rPr>
        <w:t>Algemeen deel</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Dit besluit wijzigt het Besluit begroting en verantwoording provincies en gemeenten (BBV) op de volgende onderwerpen: </w:t>
      </w:r>
    </w:p>
    <w:p w:rsidR="00067750" w:rsidRPr="00C9093F" w:rsidRDefault="00067750" w:rsidP="00295DDD">
      <w:pPr>
        <w:pStyle w:val="Lijstalinea"/>
        <w:numPr>
          <w:ilvl w:val="0"/>
          <w:numId w:val="19"/>
        </w:numPr>
        <w:spacing w:line="280" w:lineRule="exact"/>
        <w:ind w:left="1080"/>
        <w:rPr>
          <w:szCs w:val="18"/>
        </w:rPr>
      </w:pPr>
      <w:r w:rsidRPr="00C9093F">
        <w:rPr>
          <w:szCs w:val="18"/>
        </w:rPr>
        <w:t xml:space="preserve">Verduidelijking van de bepaling over op te nemen informatie van verbonden partijen in de paragraaf verbonden partijen. </w:t>
      </w:r>
    </w:p>
    <w:p w:rsidR="00067750" w:rsidRPr="00C9093F" w:rsidRDefault="00067750" w:rsidP="00295DDD">
      <w:pPr>
        <w:pStyle w:val="Lijstalinea"/>
        <w:numPr>
          <w:ilvl w:val="0"/>
          <w:numId w:val="19"/>
        </w:numPr>
        <w:spacing w:line="280" w:lineRule="exact"/>
        <w:ind w:left="1080"/>
        <w:rPr>
          <w:szCs w:val="18"/>
        </w:rPr>
      </w:pPr>
      <w:r w:rsidRPr="00C9093F">
        <w:rPr>
          <w:szCs w:val="18"/>
        </w:rPr>
        <w:t>De rapportageverplichting over het benutten van het drempelbedrag in het kader van het verplicht schatkistbankieren.</w:t>
      </w:r>
    </w:p>
    <w:p w:rsidR="00067750" w:rsidRPr="00C9093F" w:rsidRDefault="00067750" w:rsidP="00295DDD">
      <w:pPr>
        <w:pStyle w:val="Lijstalinea"/>
        <w:spacing w:line="280" w:lineRule="exact"/>
        <w:ind w:left="1080"/>
        <w:rPr>
          <w:szCs w:val="18"/>
        </w:rPr>
      </w:pPr>
    </w:p>
    <w:p w:rsidR="00067750" w:rsidRPr="00C9093F" w:rsidRDefault="00067750" w:rsidP="00295DDD">
      <w:pPr>
        <w:spacing w:line="280" w:lineRule="exact"/>
        <w:rPr>
          <w:szCs w:val="18"/>
        </w:rPr>
      </w:pPr>
      <w:r w:rsidRPr="00C9093F">
        <w:rPr>
          <w:i/>
          <w:szCs w:val="18"/>
        </w:rPr>
        <w:t>Verduidelijking over de op te nemen informatie over verbonden partijen</w:t>
      </w:r>
    </w:p>
    <w:p w:rsidR="00067750" w:rsidRPr="00C9093F" w:rsidRDefault="00067750" w:rsidP="00295DDD">
      <w:pPr>
        <w:spacing w:line="280" w:lineRule="exact"/>
        <w:rPr>
          <w:szCs w:val="18"/>
        </w:rPr>
      </w:pPr>
    </w:p>
    <w:p w:rsidR="00B0788B" w:rsidRPr="008929C6" w:rsidRDefault="00067750" w:rsidP="00295DDD">
      <w:pPr>
        <w:autoSpaceDE w:val="0"/>
        <w:autoSpaceDN w:val="0"/>
        <w:adjustRightInd w:val="0"/>
        <w:spacing w:line="280" w:lineRule="exact"/>
        <w:rPr>
          <w:szCs w:val="18"/>
        </w:rPr>
      </w:pPr>
      <w:r w:rsidRPr="00C9093F">
        <w:rPr>
          <w:szCs w:val="18"/>
        </w:rPr>
        <w:t xml:space="preserve">Artikel 15 van het BBV verplicht provincies en gemeenten om inzicht te geven in welke verbonden partijen de provincie respectievelijk gemeente deelneemt, het belang dat de betreffende provincie of gemeente heeft in elk van hun verbonden partijen en in de financiële positie van elk van de verbonden partijen. </w:t>
      </w:r>
      <w:r w:rsidRPr="00C9093F">
        <w:rPr>
          <w:rFonts w:cs="Times New Roman"/>
          <w:szCs w:val="18"/>
        </w:rPr>
        <w:t xml:space="preserve">In de decembercirculaire van 2013 is aangekondigd dat in het BBV verduidelijkt zal worden over </w:t>
      </w:r>
      <w:r w:rsidRPr="00C9093F">
        <w:rPr>
          <w:szCs w:val="18"/>
        </w:rPr>
        <w:t xml:space="preserve">welke begrotingsjaren het gaat bij de hierboven genoemde informatie over verbonden partijen in de begroting en de toelichting. De onderhavige wijziging geeft daar invulling aan. Het gaat om informatie </w:t>
      </w:r>
      <w:r w:rsidRPr="00C9093F">
        <w:rPr>
          <w:i/>
          <w:szCs w:val="18"/>
        </w:rPr>
        <w:t>over het begrotingsjaar</w:t>
      </w:r>
      <w:r w:rsidRPr="00C9093F">
        <w:rPr>
          <w:szCs w:val="18"/>
        </w:rPr>
        <w:t xml:space="preserve"> en niet om informatie over </w:t>
      </w:r>
      <w:proofErr w:type="gramStart"/>
      <w:r w:rsidRPr="00C9093F">
        <w:rPr>
          <w:szCs w:val="18"/>
        </w:rPr>
        <w:t>reeds</w:t>
      </w:r>
      <w:proofErr w:type="gramEnd"/>
      <w:r w:rsidRPr="00C9093F">
        <w:rPr>
          <w:szCs w:val="18"/>
        </w:rPr>
        <w:t xml:space="preserve"> afgesloten boekjaren. In de nota van toelichting van het Besluit </w:t>
      </w:r>
      <w:r w:rsidRPr="00C9093F">
        <w:rPr>
          <w:bCs/>
          <w:kern w:val="36"/>
          <w:szCs w:val="18"/>
        </w:rPr>
        <w:t>van 25 juni 2013,</w:t>
      </w:r>
      <w:r w:rsidRPr="00C9093F">
        <w:rPr>
          <w:b/>
          <w:bCs/>
          <w:kern w:val="36"/>
          <w:szCs w:val="18"/>
        </w:rPr>
        <w:t xml:space="preserve"> </w:t>
      </w:r>
      <w:r w:rsidRPr="00C9093F">
        <w:rPr>
          <w:bCs/>
          <w:kern w:val="36"/>
          <w:szCs w:val="18"/>
        </w:rPr>
        <w:t>houdende wijziging van het Besluit begroting en verantwoording provincies en gemeenten in verband met het versterken van de deugdelijkheid en transparantie van de begroting en de meerjarenraming van provincies en gemeenten en het versterken van de horizontale controle daarop</w:t>
      </w:r>
      <w:r w:rsidRPr="00C9093F">
        <w:rPr>
          <w:b/>
          <w:bCs/>
          <w:kern w:val="36"/>
          <w:szCs w:val="18"/>
        </w:rPr>
        <w:t xml:space="preserve"> </w:t>
      </w:r>
      <w:r w:rsidRPr="00C9093F">
        <w:rPr>
          <w:szCs w:val="18"/>
        </w:rPr>
        <w:t>(Stb. 2013, 267), stond dat in de begroting voor jaar t+1 van de medeoverheid de informatie uit de jaarrekening van jaar t-1 van de verbonden partij kan worden opgenomen. Voor het inzicht moet echter de informatie over dat betreffende begrotingsjaar zowel in de begroting als in het jaarverslag (op grond van artikel 26 van het BBV) van een bepaald begrotingsjaar worden opgenomen.</w:t>
      </w:r>
      <w:r w:rsidR="00B0788B">
        <w:rPr>
          <w:szCs w:val="18"/>
        </w:rPr>
        <w:t xml:space="preserve"> </w:t>
      </w:r>
      <w:r w:rsidR="00B0788B" w:rsidRPr="00540169">
        <w:rPr>
          <w:szCs w:val="18"/>
        </w:rPr>
        <w:t xml:space="preserve">Voor het inzicht van onder meer de gemeenteraad </w:t>
      </w:r>
      <w:proofErr w:type="gramStart"/>
      <w:r w:rsidR="00B0788B" w:rsidRPr="00540169">
        <w:rPr>
          <w:szCs w:val="18"/>
        </w:rPr>
        <w:t>respectievelijk</w:t>
      </w:r>
      <w:proofErr w:type="gramEnd"/>
      <w:r w:rsidR="00B0788B" w:rsidRPr="00540169">
        <w:rPr>
          <w:szCs w:val="18"/>
        </w:rPr>
        <w:t xml:space="preserve"> provinciale staten is echter van belang dat in de begroting voor een bepaald jaar ramingsinformatie over verbonden partijen voor</w:t>
      </w:r>
      <w:r w:rsidR="00B0788B" w:rsidRPr="00540169" w:rsidDel="001838EF">
        <w:rPr>
          <w:szCs w:val="18"/>
        </w:rPr>
        <w:t xml:space="preserve"> </w:t>
      </w:r>
      <w:r w:rsidR="00B0788B" w:rsidRPr="00540169">
        <w:rPr>
          <w:szCs w:val="18"/>
        </w:rPr>
        <w:t xml:space="preserve">dat betreffende begrotingsjaar wordt opgenomen. Het gaat dan om onder meer informatie die vanuit de verbonden partij beschikbaar kan worden gesteld en openbaar gemaakt kan worden over interne en externe ontwikkelingen en de consequenties daarvan voor het verwachte resultaat </w:t>
      </w:r>
      <w:proofErr w:type="spellStart"/>
      <w:r w:rsidR="00B0788B" w:rsidRPr="00540169">
        <w:rPr>
          <w:szCs w:val="18"/>
        </w:rPr>
        <w:t>cq</w:t>
      </w:r>
      <w:proofErr w:type="spellEnd"/>
      <w:r w:rsidR="00B0788B" w:rsidRPr="00540169">
        <w:rPr>
          <w:szCs w:val="18"/>
        </w:rPr>
        <w:t xml:space="preserve"> de vermogenspositie van de verbonden partij.</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i/>
          <w:szCs w:val="18"/>
        </w:rPr>
        <w:t>De rapportageverplichting over het benutten van het drempelbedrag in het kader van het verplicht schatkistbankieren</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Er wordt een nieuw artikel opgenomen in het BBV, artikel 52c, waarin een rapportageverplichting over de benutting van het drempelbedrag, in het kader van het verplicht schatkistbankieren voor openbare lichamen wordt geïntroduceerd. Deze wijziging van het BBV vloeit voort uit de invoering van het schatkistbankieren in de Wet financiering decentrale overheden (Wet </w:t>
      </w:r>
      <w:proofErr w:type="spellStart"/>
      <w:r w:rsidRPr="00C9093F">
        <w:rPr>
          <w:szCs w:val="18"/>
        </w:rPr>
        <w:t>fido</w:t>
      </w:r>
      <w:proofErr w:type="spellEnd"/>
      <w:r w:rsidRPr="00C9093F">
        <w:rPr>
          <w:szCs w:val="18"/>
        </w:rPr>
        <w:t>).</w:t>
      </w:r>
      <w:r w:rsidRPr="00C9093F">
        <w:rPr>
          <w:rStyle w:val="Voetnootmarkering"/>
          <w:szCs w:val="18"/>
        </w:rPr>
        <w:footnoteReference w:id="1"/>
      </w:r>
      <w:r w:rsidRPr="00C9093F">
        <w:rPr>
          <w:szCs w:val="18"/>
        </w:rPr>
        <w:t xml:space="preserve"> Daardoor zijn openbare lichamen verplicht om hun overtollige middelen aan te houden in ’s Rijks schatkist. </w:t>
      </w:r>
      <w:proofErr w:type="gramStart"/>
      <w:r w:rsidRPr="00C9093F">
        <w:rPr>
          <w:szCs w:val="18"/>
        </w:rPr>
        <w:t>Ingevolge</w:t>
      </w:r>
      <w:proofErr w:type="gramEnd"/>
      <w:r w:rsidRPr="00C9093F">
        <w:rPr>
          <w:szCs w:val="18"/>
        </w:rPr>
        <w:t xml:space="preserve"> artikel 2, vierde lid, van de Wet Fido kunnen bij ministeriële regeling echter middelen </w:t>
      </w:r>
      <w:r w:rsidRPr="00C9093F">
        <w:rPr>
          <w:szCs w:val="18"/>
        </w:rPr>
        <w:lastRenderedPageBreak/>
        <w:t xml:space="preserve">van deze verplichting worden uitgezonderd. </w:t>
      </w:r>
      <w:proofErr w:type="gramStart"/>
      <w:r w:rsidRPr="00C9093F">
        <w:rPr>
          <w:szCs w:val="18"/>
        </w:rPr>
        <w:t>Ingevolge</w:t>
      </w:r>
      <w:proofErr w:type="gramEnd"/>
      <w:r w:rsidRPr="00C9093F">
        <w:rPr>
          <w:szCs w:val="18"/>
        </w:rPr>
        <w:t xml:space="preserve"> artikel 7, eerste lid,  van de Regeling schatkistbankieren decentrale overheden</w:t>
      </w:r>
      <w:r w:rsidR="00726C0B">
        <w:rPr>
          <w:szCs w:val="18"/>
        </w:rPr>
        <w:t xml:space="preserve"> </w:t>
      </w:r>
      <w:r w:rsidRPr="00C9093F">
        <w:rPr>
          <w:szCs w:val="18"/>
        </w:rPr>
        <w:t xml:space="preserve">zijn dat, middelen tot aan het drempelbedrag, middelen die worden aangehouden in de fondsen, bedoeld in artikel 15.47 van de Wet milieubeheer en middelen op G-rekeningen, bedoeld in artikel 1, onder k, van de Uitvoeringsregeling inleners-, keten- en opdrachtgeversaansprakelijkheid 2004. </w:t>
      </w:r>
    </w:p>
    <w:p w:rsidR="00067750" w:rsidRPr="00C9093F" w:rsidRDefault="00067750" w:rsidP="00295DDD">
      <w:pPr>
        <w:spacing w:line="280" w:lineRule="exact"/>
        <w:rPr>
          <w:szCs w:val="18"/>
        </w:rPr>
      </w:pPr>
      <w:r w:rsidRPr="00C9093F">
        <w:rPr>
          <w:szCs w:val="18"/>
        </w:rPr>
        <w:t>De hoogte van het drempelbedrag is geregeld in artikel 7, tweede lid, van de Regeling schatkistbankieren decentrale overheden</w:t>
      </w:r>
      <w:r w:rsidRPr="00C9093F">
        <w:rPr>
          <w:rFonts w:cs="Arial"/>
          <w:szCs w:val="18"/>
        </w:rPr>
        <w:t xml:space="preserve"> en wordt berekend op basis van het begrotingstotaal van het openbaar lichaam (van het begrotingsjaar waarover verantwoording wordt afgelegd naar de stand van 31 december). De hoogte van het dremp</w:t>
      </w:r>
      <w:r w:rsidRPr="00C9093F">
        <w:rPr>
          <w:rFonts w:cs="Arial"/>
          <w:bCs/>
          <w:szCs w:val="18"/>
        </w:rPr>
        <w:t xml:space="preserve">elbedrag kan daardoor voor ieder decentrale overheid verschillend zijn. </w:t>
      </w:r>
      <w:r w:rsidRPr="00C9093F">
        <w:rPr>
          <w:szCs w:val="18"/>
        </w:rPr>
        <w:t>De gevolgen van het invoeren van en de wijze waarop het drempelbedrag kan worden benut zijn in de toelichting van de Regeling schatkistbankieren decentrale overheden nader toegelicht.</w:t>
      </w:r>
      <w:r w:rsidRPr="00C9093F">
        <w:rPr>
          <w:rStyle w:val="Voetnootmarkering"/>
          <w:szCs w:val="18"/>
        </w:rPr>
        <w:footnoteReference w:id="2"/>
      </w:r>
    </w:p>
    <w:p w:rsidR="00067750" w:rsidRPr="00C9093F" w:rsidRDefault="00067750" w:rsidP="00295DDD">
      <w:pPr>
        <w:spacing w:line="280" w:lineRule="exact"/>
        <w:rPr>
          <w:szCs w:val="18"/>
        </w:rPr>
      </w:pPr>
    </w:p>
    <w:p w:rsidR="00067750" w:rsidRPr="00C9093F" w:rsidRDefault="00067750" w:rsidP="00295DDD">
      <w:pPr>
        <w:spacing w:line="280" w:lineRule="exact"/>
        <w:rPr>
          <w:rFonts w:cs="Arial"/>
          <w:szCs w:val="18"/>
        </w:rPr>
      </w:pPr>
      <w:proofErr w:type="gramStart"/>
      <w:r w:rsidRPr="00C9093F">
        <w:rPr>
          <w:szCs w:val="18"/>
        </w:rPr>
        <w:t>Ingevolge</w:t>
      </w:r>
      <w:proofErr w:type="gramEnd"/>
      <w:r w:rsidRPr="00C9093F">
        <w:rPr>
          <w:szCs w:val="18"/>
        </w:rPr>
        <w:t xml:space="preserve"> artikel 52c </w:t>
      </w:r>
      <w:r w:rsidRPr="00C9093F">
        <w:rPr>
          <w:rFonts w:cs="Arial"/>
          <w:szCs w:val="18"/>
        </w:rPr>
        <w:t>wordt in de toelichting op de balans vermeld</w:t>
      </w:r>
      <w:r w:rsidR="00D11387">
        <w:rPr>
          <w:rFonts w:cs="Arial"/>
          <w:szCs w:val="18"/>
        </w:rPr>
        <w:t xml:space="preserve"> het drempelbedrag voor het begrotingsjaar waarover verantwoording wordt afgelegd en </w:t>
      </w:r>
      <w:r w:rsidR="00D11387" w:rsidRPr="00C9093F">
        <w:rPr>
          <w:rFonts w:cs="Arial"/>
          <w:szCs w:val="18"/>
        </w:rPr>
        <w:t>het totaal aan middelen dat</w:t>
      </w:r>
      <w:r w:rsidR="00D11387">
        <w:rPr>
          <w:rFonts w:cs="Arial"/>
          <w:szCs w:val="18"/>
        </w:rPr>
        <w:t>,</w:t>
      </w:r>
      <w:r w:rsidR="00D11387" w:rsidRPr="00C9093F">
        <w:rPr>
          <w:rFonts w:cs="Arial"/>
          <w:szCs w:val="18"/>
        </w:rPr>
        <w:t xml:space="preserve"> uitsluitend in het kader van het drempelbedrag</w:t>
      </w:r>
      <w:r w:rsidR="00D11387">
        <w:rPr>
          <w:rFonts w:cs="Arial"/>
          <w:szCs w:val="18"/>
        </w:rPr>
        <w:t xml:space="preserve">, </w:t>
      </w:r>
      <w:r w:rsidRPr="00C9093F">
        <w:rPr>
          <w:rFonts w:cs="Arial"/>
          <w:szCs w:val="18"/>
        </w:rPr>
        <w:t xml:space="preserve">per kwartaal van dat jaar </w:t>
      </w:r>
      <w:r w:rsidR="00D11387">
        <w:rPr>
          <w:rFonts w:cs="Arial"/>
          <w:szCs w:val="18"/>
        </w:rPr>
        <w:t xml:space="preserve">door provincies en gemeenten buiten ’s Rijks schatkist wordt gehouden. </w:t>
      </w:r>
      <w:r w:rsidRPr="00C9093F">
        <w:rPr>
          <w:szCs w:val="18"/>
        </w:rPr>
        <w:t>De rapportageverplichting geldt dus niet voor de andere middelen die uitgezonderd zijn van het verplichte schatkistbankieren</w:t>
      </w:r>
      <w:r w:rsidR="00993603">
        <w:rPr>
          <w:szCs w:val="18"/>
        </w:rPr>
        <w:t>.</w:t>
      </w:r>
      <w:r w:rsidRPr="00C9093F">
        <w:rPr>
          <w:szCs w:val="18"/>
        </w:rPr>
        <w:t xml:space="preserve"> Doordat ook in </w:t>
      </w:r>
      <w:r w:rsidRPr="00C9093F">
        <w:rPr>
          <w:rFonts w:cs="Arial"/>
          <w:szCs w:val="18"/>
        </w:rPr>
        <w:t xml:space="preserve">de toelichting op de balans per kwartaal de middelen die buiten </w:t>
      </w:r>
      <w:r w:rsidR="00993603">
        <w:rPr>
          <w:rFonts w:cs="Arial"/>
          <w:szCs w:val="18"/>
        </w:rPr>
        <w:t>’</w:t>
      </w:r>
      <w:r w:rsidRPr="00C9093F">
        <w:rPr>
          <w:rFonts w:cs="Arial"/>
          <w:szCs w:val="18"/>
        </w:rPr>
        <w:t>s Rijks</w:t>
      </w:r>
      <w:r w:rsidR="00993603">
        <w:rPr>
          <w:rFonts w:cs="Arial"/>
          <w:szCs w:val="18"/>
        </w:rPr>
        <w:t xml:space="preserve"> </w:t>
      </w:r>
      <w:r w:rsidRPr="00C9093F">
        <w:rPr>
          <w:rFonts w:cs="Arial"/>
          <w:szCs w:val="18"/>
        </w:rPr>
        <w:t>schatkist zijn aangehouden wordt opgenomen wordt inzicht geboden in de wijze waarop het drempelbedrag is benut. H</w:t>
      </w:r>
      <w:r w:rsidRPr="00C9093F">
        <w:rPr>
          <w:szCs w:val="18"/>
        </w:rPr>
        <w:t xml:space="preserve">et gemiddelde van het bedrag aan overtollige middelen dat een decentrale overheid gedurende het kwartaal elk kalenderdag buiten de schatkist heeft aangehouden, mag, </w:t>
      </w:r>
      <w:proofErr w:type="gramStart"/>
      <w:r w:rsidRPr="00C9093F">
        <w:rPr>
          <w:szCs w:val="18"/>
        </w:rPr>
        <w:t>ingevolge</w:t>
      </w:r>
      <w:proofErr w:type="gramEnd"/>
      <w:r w:rsidRPr="00C9093F">
        <w:rPr>
          <w:szCs w:val="18"/>
        </w:rPr>
        <w:t xml:space="preserve"> artikel 7, tweede lid, van de Regeling schatkistbankieren decentrale overheden, niet boven het drempelbedrag liggen. </w:t>
      </w:r>
      <w:r w:rsidRPr="00C9093F">
        <w:rPr>
          <w:rFonts w:cs="Arial"/>
          <w:szCs w:val="18"/>
        </w:rPr>
        <w:t>Wanneer op een bepaalde dag geen overtollige middelen buiten de schatkist worden gehouden of per saldo rood wordt gestaan buiten de schatkist (‘negatieve overtolligheid’), dan tellen die dagen voor de berekening van het gemiddelde mee als nihil.</w:t>
      </w:r>
      <w:r w:rsidRPr="00C9093F">
        <w:rPr>
          <w:rStyle w:val="Voetnootmarkering"/>
          <w:szCs w:val="18"/>
        </w:rPr>
        <w:t xml:space="preserve"> </w:t>
      </w:r>
      <w:r w:rsidRPr="00C9093F">
        <w:rPr>
          <w:rStyle w:val="Voetnootmarkering"/>
          <w:szCs w:val="18"/>
        </w:rPr>
        <w:footnoteReference w:id="3"/>
      </w:r>
    </w:p>
    <w:p w:rsidR="00067750" w:rsidRPr="00C9093F" w:rsidRDefault="00067750" w:rsidP="00295DDD">
      <w:pPr>
        <w:spacing w:line="280" w:lineRule="exact"/>
        <w:rPr>
          <w:szCs w:val="18"/>
        </w:rPr>
      </w:pPr>
    </w:p>
    <w:p w:rsidR="00067750" w:rsidRPr="00C9093F" w:rsidRDefault="00067750" w:rsidP="00295DDD">
      <w:pPr>
        <w:pStyle w:val="Tekstopmerking"/>
        <w:spacing w:line="280" w:lineRule="exact"/>
        <w:rPr>
          <w:sz w:val="18"/>
          <w:szCs w:val="18"/>
        </w:rPr>
      </w:pPr>
      <w:r w:rsidRPr="00C9093F">
        <w:rPr>
          <w:rFonts w:cs="Arial"/>
          <w:sz w:val="18"/>
          <w:szCs w:val="18"/>
        </w:rPr>
        <w:t>De verplichting om te schatkistbankieren geldt voor alle gemeenten, provincies, waterschappen, maar ook lichamen met rechtspersoonlijkheid die zijn ingesteld met toepassing van de Wet gemeenschappelijke regelingen en andere bij wet ingestelde lichamen en organen die door de minister van Binnenlandse Zaken en Koninkrijksrelaties zijn aangewezen.</w:t>
      </w:r>
      <w:r w:rsidRPr="00C9093F">
        <w:rPr>
          <w:sz w:val="18"/>
          <w:szCs w:val="18"/>
        </w:rPr>
        <w:t xml:space="preserve"> Voor openbare lichamen die zijn uitgezonderd van de aanmelding voor schatkistbankieren, omdat zij niet hun eigen </w:t>
      </w:r>
      <w:proofErr w:type="spellStart"/>
      <w:r w:rsidRPr="00C9093F">
        <w:rPr>
          <w:sz w:val="18"/>
          <w:szCs w:val="18"/>
        </w:rPr>
        <w:t>treasury</w:t>
      </w:r>
      <w:proofErr w:type="spellEnd"/>
      <w:r w:rsidRPr="00C9093F">
        <w:rPr>
          <w:sz w:val="18"/>
          <w:szCs w:val="18"/>
        </w:rPr>
        <w:t xml:space="preserve"> uitvoeren, geldt dat zij hun eventuele overtollige middelen via een ander openbaar lichaam in de schatkist moeten aanhouden. Het openbaar lichaam dat de </w:t>
      </w:r>
      <w:proofErr w:type="spellStart"/>
      <w:r w:rsidRPr="00C9093F">
        <w:rPr>
          <w:sz w:val="18"/>
          <w:szCs w:val="18"/>
        </w:rPr>
        <w:t>treasury</w:t>
      </w:r>
      <w:proofErr w:type="spellEnd"/>
      <w:r w:rsidRPr="00C9093F">
        <w:rPr>
          <w:sz w:val="18"/>
          <w:szCs w:val="18"/>
        </w:rPr>
        <w:t xml:space="preserve"> uitvoert, mag het drempelbedrag van het uitgezonderde openbare lichaam simpelweg optellen bij zijn eigen drempelbedrag. Er hoeft dan geen onderscheid gemaakt te worden tussen overtollige middelen van de beide openbare lichamen.</w:t>
      </w:r>
    </w:p>
    <w:p w:rsidR="00295B31" w:rsidRPr="00C9093F" w:rsidRDefault="00295B31" w:rsidP="00295DDD">
      <w:pPr>
        <w:spacing w:line="280" w:lineRule="exact"/>
        <w:rPr>
          <w:color w:val="FF0000"/>
          <w:szCs w:val="18"/>
        </w:rPr>
      </w:pPr>
    </w:p>
    <w:p w:rsidR="00067750" w:rsidRPr="00C9093F" w:rsidRDefault="00067750" w:rsidP="00295DDD">
      <w:pPr>
        <w:spacing w:line="280" w:lineRule="exact"/>
        <w:rPr>
          <w:rFonts w:cs="Verdana"/>
          <w:b/>
          <w:szCs w:val="18"/>
        </w:rPr>
      </w:pPr>
      <w:r w:rsidRPr="00C9093F">
        <w:rPr>
          <w:rFonts w:cs="Verdana"/>
          <w:b/>
          <w:szCs w:val="18"/>
        </w:rPr>
        <w:t>Financiële consequenties</w:t>
      </w:r>
    </w:p>
    <w:p w:rsidR="00067750" w:rsidRPr="00C9093F" w:rsidRDefault="00067750" w:rsidP="00295DDD">
      <w:pPr>
        <w:spacing w:line="280" w:lineRule="exact"/>
        <w:rPr>
          <w:szCs w:val="18"/>
        </w:rPr>
      </w:pPr>
      <w:r w:rsidRPr="00C9093F">
        <w:rPr>
          <w:szCs w:val="18"/>
        </w:rPr>
        <w:t>De wijzigingen van dit besluit leiden niet tot financiële consequenties voor medeoverheden. Het betreft vooral wijzigingen om de inzichtelijkheid te vergroten op basis van informatie die toch al voorhanden is.</w:t>
      </w:r>
    </w:p>
    <w:p w:rsidR="00067750" w:rsidRPr="00C9093F" w:rsidRDefault="00067750" w:rsidP="00295DDD">
      <w:pPr>
        <w:spacing w:line="280" w:lineRule="exact"/>
        <w:rPr>
          <w:szCs w:val="18"/>
        </w:rPr>
      </w:pPr>
    </w:p>
    <w:p w:rsidR="00067750" w:rsidRPr="00C9093F" w:rsidRDefault="00067750" w:rsidP="00295DDD">
      <w:pPr>
        <w:spacing w:line="280" w:lineRule="exact"/>
        <w:rPr>
          <w:rFonts w:cs="Verdana"/>
          <w:b/>
          <w:szCs w:val="18"/>
        </w:rPr>
      </w:pPr>
      <w:r w:rsidRPr="00C9093F">
        <w:rPr>
          <w:rFonts w:cs="Verdana"/>
          <w:b/>
          <w:szCs w:val="18"/>
        </w:rPr>
        <w:t>Administratieve lasten</w:t>
      </w:r>
    </w:p>
    <w:p w:rsidR="00067750" w:rsidRPr="00C9093F" w:rsidRDefault="00067750" w:rsidP="00295DDD">
      <w:pPr>
        <w:spacing w:line="280" w:lineRule="exact"/>
        <w:rPr>
          <w:rFonts w:cs="Verdana"/>
          <w:szCs w:val="18"/>
        </w:rPr>
      </w:pPr>
      <w:r w:rsidRPr="00C9093F">
        <w:rPr>
          <w:rFonts w:cs="Verdana"/>
          <w:szCs w:val="18"/>
        </w:rPr>
        <w:t xml:space="preserve">De wijzigingen van dit besluit leiden niet tot een significante verzwaring van de administratieve lasten voor medeoverheden. </w:t>
      </w:r>
      <w:r w:rsidR="007F4323">
        <w:rPr>
          <w:rFonts w:cs="Verdana"/>
          <w:szCs w:val="18"/>
        </w:rPr>
        <w:t xml:space="preserve">Met ingang van december 2013 zijn de medeoverheden </w:t>
      </w:r>
      <w:proofErr w:type="gramStart"/>
      <w:r w:rsidR="007F4323">
        <w:rPr>
          <w:rFonts w:cs="Verdana"/>
          <w:szCs w:val="18"/>
        </w:rPr>
        <w:t>reeds</w:t>
      </w:r>
      <w:proofErr w:type="gramEnd"/>
      <w:r w:rsidR="007F4323">
        <w:rPr>
          <w:rFonts w:cs="Verdana"/>
          <w:szCs w:val="18"/>
        </w:rPr>
        <w:t xml:space="preserve"> verplicht om te schatkistbankieren. De dagelijkse </w:t>
      </w:r>
      <w:proofErr w:type="spellStart"/>
      <w:r w:rsidR="007F4323">
        <w:rPr>
          <w:rFonts w:cs="Verdana"/>
          <w:szCs w:val="18"/>
        </w:rPr>
        <w:t>treasurypraktijk</w:t>
      </w:r>
      <w:proofErr w:type="spellEnd"/>
      <w:r w:rsidR="007F4323">
        <w:rPr>
          <w:rFonts w:cs="Verdana"/>
          <w:szCs w:val="18"/>
        </w:rPr>
        <w:t xml:space="preserve"> en systemen zijn hierop aangepast. De rapportageverplichting leidt enkel tot de beperkte last de informatie over de buiten s’ Rijks schatkist aangehouden middelen op te nemen in de jaarrekening. </w:t>
      </w:r>
      <w:r w:rsidRPr="00C9093F">
        <w:rPr>
          <w:rFonts w:cs="Verdana"/>
          <w:szCs w:val="18"/>
        </w:rPr>
        <w:t>De wijzigingen aangaande de verbonden partijen, vergroten de inzichtelijkheid op basis van informatie die al voorhanden is.</w:t>
      </w:r>
    </w:p>
    <w:p w:rsidR="00067750" w:rsidRPr="00C9093F" w:rsidRDefault="00067750" w:rsidP="00295DDD">
      <w:pPr>
        <w:spacing w:line="280" w:lineRule="exact"/>
        <w:rPr>
          <w:rFonts w:cs="Verdana"/>
          <w:b/>
          <w:szCs w:val="18"/>
        </w:rPr>
      </w:pPr>
    </w:p>
    <w:p w:rsidR="00067750" w:rsidRPr="00C9093F" w:rsidRDefault="00067750" w:rsidP="00295DDD">
      <w:pPr>
        <w:spacing w:line="280" w:lineRule="exact"/>
        <w:rPr>
          <w:rFonts w:cs="Verdana"/>
          <w:b/>
          <w:szCs w:val="18"/>
        </w:rPr>
      </w:pPr>
      <w:r w:rsidRPr="00C9093F">
        <w:rPr>
          <w:rFonts w:cs="Verdana"/>
          <w:b/>
          <w:szCs w:val="18"/>
        </w:rPr>
        <w:t>Consultatie</w:t>
      </w:r>
    </w:p>
    <w:p w:rsidR="00067750" w:rsidRPr="00C9093F" w:rsidRDefault="00067750" w:rsidP="00295DDD">
      <w:pPr>
        <w:spacing w:line="280" w:lineRule="exact"/>
        <w:rPr>
          <w:rFonts w:cs="Verdana"/>
          <w:szCs w:val="18"/>
        </w:rPr>
      </w:pPr>
      <w:r w:rsidRPr="00C9093F">
        <w:rPr>
          <w:rFonts w:cs="Verdana"/>
          <w:szCs w:val="18"/>
        </w:rPr>
        <w:t>Het wijzigingsbesluit is ter consultatie voorgelegd aan IPO en VNG.</w:t>
      </w:r>
    </w:p>
    <w:p w:rsidR="0072222A" w:rsidRDefault="00067750" w:rsidP="00295DDD">
      <w:pPr>
        <w:spacing w:line="280" w:lineRule="exact"/>
        <w:rPr>
          <w:szCs w:val="18"/>
        </w:rPr>
      </w:pPr>
      <w:r w:rsidRPr="00C9093F">
        <w:rPr>
          <w:szCs w:val="18"/>
        </w:rPr>
        <w:t xml:space="preserve">Het IPO geeft in zijn reactie aan </w:t>
      </w:r>
      <w:r w:rsidR="0072222A">
        <w:rPr>
          <w:szCs w:val="18"/>
        </w:rPr>
        <w:t>in te stemmen met de wijzigingen aangaande de verbonden partijen. Ten aanzien van de rapportageverplichting, stelt het IPO voor om de rapportageverplichting alleen in te laten gaan bij een overschrijding van het drempelbedrag.</w:t>
      </w:r>
      <w:r w:rsidR="006D761B">
        <w:rPr>
          <w:szCs w:val="18"/>
        </w:rPr>
        <w:t xml:space="preserve"> </w:t>
      </w:r>
      <w:r w:rsidR="002A034B">
        <w:rPr>
          <w:szCs w:val="18"/>
        </w:rPr>
        <w:t xml:space="preserve">Dit zou echter in feite betekenen dat er geen (volledig) inzicht is in de mate waarin de medeoverheden middelen in het kader van </w:t>
      </w:r>
      <w:r w:rsidR="0072222A">
        <w:rPr>
          <w:szCs w:val="18"/>
        </w:rPr>
        <w:t>het drempelbedrag</w:t>
      </w:r>
      <w:r w:rsidR="002A034B">
        <w:rPr>
          <w:szCs w:val="18"/>
        </w:rPr>
        <w:t xml:space="preserve"> buiten ’s Rijks schatkist aanhouden</w:t>
      </w:r>
      <w:r w:rsidR="00D978A6">
        <w:rPr>
          <w:szCs w:val="18"/>
        </w:rPr>
        <w:t>.</w:t>
      </w:r>
      <w:r w:rsidR="006D761B">
        <w:rPr>
          <w:szCs w:val="18"/>
        </w:rPr>
        <w:t xml:space="preserve"> V</w:t>
      </w:r>
      <w:r w:rsidR="0072222A">
        <w:rPr>
          <w:szCs w:val="18"/>
        </w:rPr>
        <w:t xml:space="preserve">andaar dat het kabinet voorstelt het huidige wijzigingsbesluit ongewijzigd door te voeren. </w:t>
      </w:r>
    </w:p>
    <w:p w:rsidR="006D761B" w:rsidRDefault="006D761B" w:rsidP="00295DDD">
      <w:pPr>
        <w:spacing w:line="280" w:lineRule="exact"/>
        <w:rPr>
          <w:szCs w:val="18"/>
        </w:rPr>
      </w:pPr>
      <w:r>
        <w:rPr>
          <w:szCs w:val="18"/>
        </w:rPr>
        <w:t xml:space="preserve">De VNG </w:t>
      </w:r>
      <w:r w:rsidR="00D978A6">
        <w:rPr>
          <w:szCs w:val="18"/>
        </w:rPr>
        <w:t xml:space="preserve">stemt in met de wijzigingen aangaande de verbonden partijen, maar </w:t>
      </w:r>
      <w:r>
        <w:rPr>
          <w:szCs w:val="18"/>
        </w:rPr>
        <w:t xml:space="preserve">is van mening dat de rapportageverplichting </w:t>
      </w:r>
      <w:r w:rsidR="00B76F5A">
        <w:rPr>
          <w:szCs w:val="18"/>
        </w:rPr>
        <w:t xml:space="preserve">onvoldoende aansluit bij het tweede uitgangspunt in het </w:t>
      </w:r>
      <w:r w:rsidR="00B76F5A" w:rsidRPr="00B76F5A">
        <w:rPr>
          <w:szCs w:val="18"/>
        </w:rPr>
        <w:t xml:space="preserve">recent uitgebrachte </w:t>
      </w:r>
      <w:r w:rsidR="00B76F5A" w:rsidRPr="00B76F5A">
        <w:rPr>
          <w:rFonts w:cs="Arial"/>
          <w:szCs w:val="18"/>
        </w:rPr>
        <w:t>rapport van de commissie Vernieuwing BBV</w:t>
      </w:r>
      <w:r w:rsidR="00B76F5A">
        <w:rPr>
          <w:rFonts w:cs="Arial"/>
          <w:szCs w:val="18"/>
        </w:rPr>
        <w:t>. Dit tweede uitgangspunt</w:t>
      </w:r>
      <w:r w:rsidR="00B76F5A" w:rsidRPr="00B76F5A">
        <w:rPr>
          <w:rFonts w:cs="Arial"/>
          <w:szCs w:val="18"/>
        </w:rPr>
        <w:t xml:space="preserve"> </w:t>
      </w:r>
      <w:r w:rsidR="00B76F5A">
        <w:rPr>
          <w:rFonts w:cs="Arial"/>
          <w:szCs w:val="18"/>
        </w:rPr>
        <w:t>houdt in</w:t>
      </w:r>
      <w:r w:rsidR="00B76F5A" w:rsidRPr="00B76F5A">
        <w:rPr>
          <w:rFonts w:cs="Arial"/>
          <w:szCs w:val="18"/>
        </w:rPr>
        <w:t xml:space="preserve"> dat raadsleden behoefte hebben aan meer focus op de voor hen echt belangrijke informatie in de begrotingscyclus. </w:t>
      </w:r>
      <w:r w:rsidR="00B76F5A">
        <w:rPr>
          <w:rFonts w:cs="Arial"/>
          <w:szCs w:val="18"/>
        </w:rPr>
        <w:t>I</w:t>
      </w:r>
      <w:r w:rsidR="00B76F5A" w:rsidRPr="00B76F5A">
        <w:rPr>
          <w:rFonts w:cs="Arial"/>
          <w:szCs w:val="18"/>
        </w:rPr>
        <w:t>ndien de rapportageverplichting toch onderdeel moet zijn van de jaarstukken</w:t>
      </w:r>
      <w:r w:rsidR="00B76F5A">
        <w:rPr>
          <w:rFonts w:cs="Arial"/>
          <w:szCs w:val="18"/>
        </w:rPr>
        <w:t xml:space="preserve">, adviseert de VNG </w:t>
      </w:r>
      <w:r w:rsidR="00B76F5A" w:rsidRPr="00B76F5A">
        <w:rPr>
          <w:rFonts w:cs="Arial"/>
          <w:szCs w:val="18"/>
        </w:rPr>
        <w:t>de rapportageverplichting op te nemen in het jaarverslag in plaats van de jaarrekening.</w:t>
      </w:r>
      <w:r w:rsidR="00B76F5A">
        <w:rPr>
          <w:rFonts w:ascii="Arial" w:hAnsi="Arial" w:cs="Arial"/>
          <w:sz w:val="19"/>
          <w:szCs w:val="19"/>
        </w:rPr>
        <w:t xml:space="preserve"> </w:t>
      </w:r>
      <w:r>
        <w:rPr>
          <w:szCs w:val="18"/>
        </w:rPr>
        <w:t xml:space="preserve">Het kabinet hecht er aan dat via opnemen in de jaarrekening een onafhankelijke partij (de accountant) meekijkt naar de wijze waarop medeoverheden gebruik maken van het drempelbedrag. Opname in enkel het jaarverslag, heeft als gevolg dat de accountant dit niet meeneemt in zijn rechtmatigheidcontrole. De accountant </w:t>
      </w:r>
      <w:r w:rsidRPr="00646321">
        <w:rPr>
          <w:szCs w:val="18"/>
        </w:rPr>
        <w:t xml:space="preserve">controleert </w:t>
      </w:r>
      <w:r>
        <w:rPr>
          <w:szCs w:val="18"/>
        </w:rPr>
        <w:t xml:space="preserve">namelijk </w:t>
      </w:r>
      <w:r w:rsidRPr="00646321">
        <w:rPr>
          <w:szCs w:val="18"/>
        </w:rPr>
        <w:t xml:space="preserve">slechts of het jaarverslag ‘verenigbaar’ is met de jaarrekening. </w:t>
      </w:r>
      <w:r>
        <w:rPr>
          <w:szCs w:val="18"/>
        </w:rPr>
        <w:t xml:space="preserve">Vandaar dat het kabinet vasthoudt aan opname van de rapportageverplichting in de jaarrekening. Deze kwestie kan in de nabije toekomst een plek krijgen in de uitwerking van één van de aanbevelingen uit het rapport ‘Vernieuwing van de begroting en verantwoording van gemeenten’. </w:t>
      </w:r>
    </w:p>
    <w:p w:rsidR="00067750" w:rsidRPr="00C9093F" w:rsidRDefault="00067750" w:rsidP="00295DDD">
      <w:pPr>
        <w:spacing w:line="280" w:lineRule="exact"/>
        <w:rPr>
          <w:rFonts w:cs="Verdana"/>
          <w:szCs w:val="18"/>
        </w:rPr>
      </w:pPr>
    </w:p>
    <w:p w:rsidR="00067750" w:rsidRPr="00C9093F" w:rsidRDefault="00067750" w:rsidP="00295DDD">
      <w:pPr>
        <w:spacing w:line="280" w:lineRule="exact"/>
        <w:rPr>
          <w:b/>
          <w:szCs w:val="18"/>
        </w:rPr>
      </w:pPr>
      <w:r w:rsidRPr="00C9093F">
        <w:rPr>
          <w:b/>
          <w:szCs w:val="18"/>
        </w:rPr>
        <w:t>Artikelsgewijze toelichting</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Artikel I, onderdeel A</w:t>
      </w:r>
    </w:p>
    <w:p w:rsidR="00B0788B" w:rsidRDefault="00067750" w:rsidP="00295DDD">
      <w:pPr>
        <w:autoSpaceDE w:val="0"/>
        <w:autoSpaceDN w:val="0"/>
        <w:adjustRightInd w:val="0"/>
        <w:spacing w:line="280" w:lineRule="exact"/>
        <w:rPr>
          <w:szCs w:val="18"/>
        </w:rPr>
      </w:pPr>
      <w:r w:rsidRPr="00C9093F">
        <w:rPr>
          <w:szCs w:val="18"/>
        </w:rPr>
        <w:t xml:space="preserve">De aangebrachte wijzigingen in de onderdelen c t/m e van het tweede lid maken duidelijk dat het bij de informatie over het belang in de verbonden partij, over het eigen vermogen en het vreemd vermogen, en over het financiële resultaat van de verbonden partij om informatie </w:t>
      </w:r>
      <w:r w:rsidRPr="00C9093F">
        <w:rPr>
          <w:i/>
          <w:szCs w:val="18"/>
        </w:rPr>
        <w:t>over het begrotingsjaar</w:t>
      </w:r>
      <w:r w:rsidRPr="00C9093F">
        <w:rPr>
          <w:szCs w:val="18"/>
        </w:rPr>
        <w:t xml:space="preserve"> gaat en niet om informatie over </w:t>
      </w:r>
      <w:proofErr w:type="gramStart"/>
      <w:r w:rsidRPr="00C9093F">
        <w:rPr>
          <w:szCs w:val="18"/>
        </w:rPr>
        <w:t>reeds</w:t>
      </w:r>
      <w:proofErr w:type="gramEnd"/>
      <w:r w:rsidRPr="00C9093F">
        <w:rPr>
          <w:szCs w:val="18"/>
        </w:rPr>
        <w:t xml:space="preserve"> afgesloten boekjaren. </w:t>
      </w:r>
      <w:r w:rsidR="00B0788B" w:rsidRPr="00E7423B">
        <w:rPr>
          <w:szCs w:val="18"/>
        </w:rPr>
        <w:t>In de begroting van een bepaald jaar gaat het dus om ramingen respectievelijk de gevolgen van voornemens voor het betreffende begrotingsjaar.</w:t>
      </w:r>
    </w:p>
    <w:p w:rsidR="00B0788B" w:rsidRPr="008929C6" w:rsidRDefault="00B0788B" w:rsidP="00295DDD">
      <w:pPr>
        <w:autoSpaceDE w:val="0"/>
        <w:autoSpaceDN w:val="0"/>
        <w:adjustRightInd w:val="0"/>
        <w:spacing w:line="280" w:lineRule="exact"/>
        <w:rPr>
          <w:szCs w:val="18"/>
        </w:rPr>
      </w:pPr>
      <w:r w:rsidRPr="00E7423B">
        <w:rPr>
          <w:szCs w:val="18"/>
        </w:rPr>
        <w:t xml:space="preserve">In het algemeen deel van deze toelichting </w:t>
      </w:r>
      <w:r>
        <w:rPr>
          <w:szCs w:val="18"/>
        </w:rPr>
        <w:t xml:space="preserve">is </w:t>
      </w:r>
      <w:proofErr w:type="gramStart"/>
      <w:r>
        <w:rPr>
          <w:szCs w:val="18"/>
        </w:rPr>
        <w:t>reeds</w:t>
      </w:r>
      <w:proofErr w:type="gramEnd"/>
      <w:r>
        <w:rPr>
          <w:szCs w:val="18"/>
        </w:rPr>
        <w:t xml:space="preserve"> aan de orde gekomen</w:t>
      </w:r>
      <w:r w:rsidRPr="00E7423B">
        <w:rPr>
          <w:szCs w:val="18"/>
        </w:rPr>
        <w:t xml:space="preserve"> dat het daarbij onder meer gaat om informatie die vanuit de verbonden partij beschikbaar kan worden gesteld en openbaar gemaakt kan worden over interne en externe ontwikkelingen en de consequenties daarvan voor het verwachte resultaat </w:t>
      </w:r>
      <w:r>
        <w:rPr>
          <w:szCs w:val="18"/>
        </w:rPr>
        <w:t xml:space="preserve">respectievelijk </w:t>
      </w:r>
      <w:r w:rsidRPr="00E7423B">
        <w:rPr>
          <w:szCs w:val="18"/>
        </w:rPr>
        <w:t xml:space="preserve">de vermogenspositie van de verbonden partij. Daarvoor is </w:t>
      </w:r>
      <w:r>
        <w:rPr>
          <w:szCs w:val="18"/>
        </w:rPr>
        <w:t xml:space="preserve">echter </w:t>
      </w:r>
      <w:r w:rsidRPr="00E7423B">
        <w:rPr>
          <w:szCs w:val="18"/>
        </w:rPr>
        <w:t xml:space="preserve">niet </w:t>
      </w:r>
      <w:r>
        <w:rPr>
          <w:szCs w:val="18"/>
        </w:rPr>
        <w:t xml:space="preserve">nodig dat, </w:t>
      </w:r>
      <w:r w:rsidRPr="00E7423B">
        <w:rPr>
          <w:szCs w:val="18"/>
        </w:rPr>
        <w:t>bijvoorbeeld</w:t>
      </w:r>
      <w:r>
        <w:rPr>
          <w:szCs w:val="18"/>
        </w:rPr>
        <w:t>, een begroting of</w:t>
      </w:r>
      <w:r w:rsidRPr="00E7423B">
        <w:rPr>
          <w:szCs w:val="18"/>
        </w:rPr>
        <w:t xml:space="preserve"> geprognosticeerde balans van een verbonden partij beschikbaar is, maar kan het </w:t>
      </w:r>
      <w:r w:rsidRPr="00E7423B">
        <w:rPr>
          <w:szCs w:val="18"/>
        </w:rPr>
        <w:lastRenderedPageBreak/>
        <w:t xml:space="preserve">bijvoorbeeld ook gaan om </w:t>
      </w:r>
      <w:r>
        <w:rPr>
          <w:szCs w:val="18"/>
        </w:rPr>
        <w:t xml:space="preserve">(financiële) </w:t>
      </w:r>
      <w:r w:rsidRPr="00E7423B">
        <w:rPr>
          <w:szCs w:val="18"/>
        </w:rPr>
        <w:t xml:space="preserve">vooruitzichten, winstwaarschuwingen, berichtgeving over wijzigingen in wet- en regelgeving voor de betrokken sector </w:t>
      </w:r>
      <w:r>
        <w:rPr>
          <w:szCs w:val="18"/>
        </w:rPr>
        <w:t xml:space="preserve">met financiële </w:t>
      </w:r>
      <w:r w:rsidRPr="00E7423B">
        <w:rPr>
          <w:szCs w:val="18"/>
        </w:rPr>
        <w:t xml:space="preserve">consequenties etc. Voor zover dergelijke informatie niet </w:t>
      </w:r>
      <w:r>
        <w:rPr>
          <w:szCs w:val="18"/>
        </w:rPr>
        <w:t xml:space="preserve">beschikbaar </w:t>
      </w:r>
      <w:r w:rsidRPr="00E7423B">
        <w:rPr>
          <w:szCs w:val="18"/>
        </w:rPr>
        <w:t>is of kan worden verstrekt</w:t>
      </w:r>
      <w:r>
        <w:rPr>
          <w:szCs w:val="18"/>
        </w:rPr>
        <w:t xml:space="preserve"> door een provincie of gemeente</w:t>
      </w:r>
      <w:r w:rsidRPr="00E7423B">
        <w:rPr>
          <w:szCs w:val="18"/>
        </w:rPr>
        <w:t xml:space="preserve">, </w:t>
      </w:r>
      <w:r>
        <w:rPr>
          <w:szCs w:val="18"/>
        </w:rPr>
        <w:t>is het in dat geval voldoende om over de</w:t>
      </w:r>
      <w:r w:rsidRPr="00E7423B">
        <w:rPr>
          <w:szCs w:val="18"/>
        </w:rPr>
        <w:t xml:space="preserve"> </w:t>
      </w:r>
      <w:proofErr w:type="gramStart"/>
      <w:r w:rsidRPr="00E7423B">
        <w:rPr>
          <w:szCs w:val="18"/>
        </w:rPr>
        <w:t>betreffende</w:t>
      </w:r>
      <w:proofErr w:type="gramEnd"/>
      <w:r w:rsidRPr="00E7423B">
        <w:rPr>
          <w:szCs w:val="18"/>
        </w:rPr>
        <w:t xml:space="preserve"> verbonden par</w:t>
      </w:r>
      <w:r>
        <w:rPr>
          <w:szCs w:val="18"/>
        </w:rPr>
        <w:t>tij te vermelden</w:t>
      </w:r>
      <w:r w:rsidRPr="00E7423B">
        <w:rPr>
          <w:szCs w:val="18"/>
        </w:rPr>
        <w:t xml:space="preserve"> dat geen informatie beschikbaar is op basis waarvan substantiële wijzigingen in resultaat en/of vermogen te verwachten zijn en kunnen </w:t>
      </w:r>
      <w:r>
        <w:rPr>
          <w:szCs w:val="18"/>
        </w:rPr>
        <w:t xml:space="preserve">in dat geval </w:t>
      </w:r>
      <w:r w:rsidRPr="00E7423B">
        <w:rPr>
          <w:szCs w:val="18"/>
        </w:rPr>
        <w:t xml:space="preserve">eerder gerealiseerde resultaten en eigen vermogen- </w:t>
      </w:r>
      <w:r>
        <w:rPr>
          <w:szCs w:val="18"/>
        </w:rPr>
        <w:t>respectievelijk</w:t>
      </w:r>
      <w:r w:rsidRPr="00E7423B">
        <w:rPr>
          <w:szCs w:val="18"/>
        </w:rPr>
        <w:t xml:space="preserve"> vreemd </w:t>
      </w:r>
      <w:proofErr w:type="spellStart"/>
      <w:r w:rsidRPr="00E7423B">
        <w:rPr>
          <w:szCs w:val="18"/>
        </w:rPr>
        <w:t>vermogenposities</w:t>
      </w:r>
      <w:proofErr w:type="spellEnd"/>
      <w:r w:rsidRPr="00E7423B">
        <w:rPr>
          <w:szCs w:val="18"/>
        </w:rPr>
        <w:t xml:space="preserve"> worden verstrekt.</w:t>
      </w:r>
    </w:p>
    <w:p w:rsidR="00067750" w:rsidRPr="00C9093F" w:rsidRDefault="00067750" w:rsidP="00295DDD">
      <w:pPr>
        <w:spacing w:line="280" w:lineRule="exact"/>
        <w:rPr>
          <w:szCs w:val="18"/>
          <w:highlight w:val="yellow"/>
        </w:rPr>
      </w:pPr>
    </w:p>
    <w:p w:rsidR="00067750" w:rsidRPr="00C9093F" w:rsidRDefault="00067750" w:rsidP="00295DDD">
      <w:pPr>
        <w:spacing w:line="280" w:lineRule="exact"/>
        <w:rPr>
          <w:szCs w:val="18"/>
        </w:rPr>
      </w:pPr>
      <w:r w:rsidRPr="00C9093F">
        <w:rPr>
          <w:szCs w:val="18"/>
        </w:rPr>
        <w:t>Artikel I, onderdeel B</w:t>
      </w:r>
    </w:p>
    <w:p w:rsidR="00067750" w:rsidRPr="00C9093F" w:rsidRDefault="00067750"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In het kader van de verantwoording over de benutting van het drempelbedrag is het van belang dat deze in een onderdeel van de jaarrekening wordt opgenomen dat is onderworpen aan de rechtmatigheidscontrole door de accountant van het openbaar lichaam. De rapportageverplichting wordt daarom opgenomen in paragraaf 4.5.7 van het BBV, de toelichting op de balans. De rapportageverplichting maakt </w:t>
      </w:r>
      <w:proofErr w:type="gramStart"/>
      <w:r w:rsidRPr="00C9093F">
        <w:rPr>
          <w:szCs w:val="18"/>
        </w:rPr>
        <w:t>derhalve</w:t>
      </w:r>
      <w:proofErr w:type="gramEnd"/>
      <w:r w:rsidRPr="00C9093F">
        <w:rPr>
          <w:szCs w:val="18"/>
        </w:rPr>
        <w:t xml:space="preserve"> onderdeel uit van de jaarrekening, die ingevolge artikel 213, derde en vierde lid, van de Gemeentewet is onderworpen aan het rechtmatigheidsoordeel van de accountant. Openbare lichamen rapporteren </w:t>
      </w:r>
      <w:r w:rsidRPr="00C9093F">
        <w:rPr>
          <w:rFonts w:cs="Arial"/>
          <w:szCs w:val="18"/>
        </w:rPr>
        <w:t>in de toelichting op de bala</w:t>
      </w:r>
      <w:r w:rsidRPr="00C9093F">
        <w:rPr>
          <w:szCs w:val="18"/>
        </w:rPr>
        <w:t xml:space="preserve">ns op kwartaalbasis over het drempelbedrag en de omvang van de daadwerkelijk buiten ’s Rijks schatkist aangehouden overtollige middelen. </w:t>
      </w:r>
      <w:r w:rsidRPr="00C9093F">
        <w:rPr>
          <w:rFonts w:cs="Arial"/>
          <w:szCs w:val="18"/>
        </w:rPr>
        <w:t>H</w:t>
      </w:r>
      <w:r w:rsidRPr="00C9093F">
        <w:rPr>
          <w:szCs w:val="18"/>
        </w:rPr>
        <w:t>et gemiddelde van het bedrag aan overtollige middelen dat een decentrale overheid gedurende het kwartaal elke kalenderdag buiten de schatkist heeft aangehouden, mag niet boven het drempelbedrag liggen.</w:t>
      </w:r>
      <w:r w:rsidRPr="00C9093F">
        <w:rPr>
          <w:rFonts w:cs="Arial"/>
          <w:szCs w:val="18"/>
        </w:rPr>
        <w:t xml:space="preserve"> </w:t>
      </w:r>
    </w:p>
    <w:p w:rsidR="00067750" w:rsidRPr="00C9093F" w:rsidRDefault="00067750" w:rsidP="00295DDD">
      <w:pPr>
        <w:spacing w:line="280" w:lineRule="exact"/>
        <w:rPr>
          <w:color w:val="FF0000"/>
          <w:szCs w:val="18"/>
        </w:rPr>
      </w:pPr>
    </w:p>
    <w:p w:rsidR="00067750" w:rsidRPr="00C9093F" w:rsidRDefault="00067750" w:rsidP="00295DDD">
      <w:pPr>
        <w:spacing w:line="280" w:lineRule="exact"/>
        <w:rPr>
          <w:rFonts w:cs="Verdana"/>
          <w:szCs w:val="18"/>
        </w:rPr>
      </w:pPr>
      <w:r w:rsidRPr="00C9093F">
        <w:rPr>
          <w:rFonts w:cs="Verdana"/>
          <w:szCs w:val="18"/>
        </w:rPr>
        <w:t>Artikel II en III</w:t>
      </w:r>
    </w:p>
    <w:p w:rsidR="00067750" w:rsidRPr="00C9093F" w:rsidRDefault="00067750" w:rsidP="00295DDD">
      <w:pPr>
        <w:spacing w:line="280" w:lineRule="exact"/>
        <w:rPr>
          <w:rFonts w:cs="Verdana"/>
          <w:szCs w:val="18"/>
        </w:rPr>
      </w:pPr>
    </w:p>
    <w:p w:rsidR="00067750" w:rsidRPr="00C9093F" w:rsidRDefault="00067750" w:rsidP="00295DDD">
      <w:pPr>
        <w:spacing w:line="280" w:lineRule="exact"/>
        <w:rPr>
          <w:rFonts w:cs="Verdana"/>
          <w:szCs w:val="18"/>
        </w:rPr>
      </w:pPr>
      <w:r w:rsidRPr="00C9093F">
        <w:rPr>
          <w:rFonts w:cs="Verdana"/>
          <w:szCs w:val="18"/>
        </w:rPr>
        <w:t>Er is een overgangsbepaling opgenomen, waarmee wordt geregeld dat bij de verantwoording over het begrotingsjaar 2013 nog geen rekening hoeft te worden gehouden met deze wijziging het BBV. Zowel de wijzi</w:t>
      </w:r>
      <w:r w:rsidR="00AA0BC9">
        <w:rPr>
          <w:rFonts w:cs="Verdana"/>
          <w:szCs w:val="18"/>
        </w:rPr>
        <w:t>gi</w:t>
      </w:r>
      <w:r w:rsidRPr="00C9093F">
        <w:rPr>
          <w:rFonts w:cs="Verdana"/>
          <w:szCs w:val="18"/>
        </w:rPr>
        <w:t>ng met betrekking tot de rapportageverplichting in verband met de invoering van het schatkistbankieren, als de wijz</w:t>
      </w:r>
      <w:r w:rsidR="00295DDD">
        <w:rPr>
          <w:rFonts w:cs="Verdana"/>
          <w:szCs w:val="18"/>
        </w:rPr>
        <w:t>iging met betrekking tot het op</w:t>
      </w:r>
      <w:r w:rsidRPr="00C9093F">
        <w:rPr>
          <w:rFonts w:cs="Verdana"/>
          <w:szCs w:val="18"/>
        </w:rPr>
        <w:t xml:space="preserve">nemen van informatie over verbonden partijen in de begroting, zijn voor openbare lichamen van toepassing voor het opstellen van de begroting van 2015 respectievelijk het verantwoorden van de begroting van </w:t>
      </w:r>
      <w:proofErr w:type="gramStart"/>
      <w:r w:rsidRPr="00C9093F">
        <w:rPr>
          <w:rFonts w:cs="Verdana"/>
          <w:szCs w:val="18"/>
        </w:rPr>
        <w:t xml:space="preserve">2014.   </w:t>
      </w:r>
      <w:proofErr w:type="gramEnd"/>
    </w:p>
    <w:p w:rsidR="00067750" w:rsidRPr="00C9093F" w:rsidRDefault="00067750" w:rsidP="00295DDD">
      <w:pPr>
        <w:spacing w:line="280" w:lineRule="exact"/>
        <w:rPr>
          <w:rFonts w:cs="Verdana"/>
          <w:szCs w:val="18"/>
        </w:rPr>
      </w:pPr>
    </w:p>
    <w:p w:rsidR="00AA0BC9" w:rsidRDefault="006F282C" w:rsidP="00295DDD">
      <w:pPr>
        <w:pStyle w:val="broodtekst"/>
        <w:spacing w:line="280" w:lineRule="exact"/>
      </w:pPr>
      <w:r>
        <w:rPr>
          <w:rFonts w:cs="Verdana"/>
        </w:rPr>
        <w:t>Openbare lichamen</w:t>
      </w:r>
      <w:r w:rsidR="00067750" w:rsidRPr="00C9093F">
        <w:rPr>
          <w:rFonts w:cs="Verdana"/>
        </w:rPr>
        <w:t xml:space="preserve"> houden in 2014 in de eigen administratie wel </w:t>
      </w:r>
      <w:r w:rsidR="00295DDD">
        <w:rPr>
          <w:rFonts w:cs="Verdana"/>
        </w:rPr>
        <w:t xml:space="preserve">al </w:t>
      </w:r>
      <w:r w:rsidR="00067750" w:rsidRPr="00C9093F">
        <w:rPr>
          <w:rFonts w:cs="Verdana"/>
        </w:rPr>
        <w:t>rekening met de onderhavige wijzigingen in de verantwoording</w:t>
      </w:r>
      <w:r w:rsidR="007728BD">
        <w:rPr>
          <w:rFonts w:cs="Verdana"/>
        </w:rPr>
        <w:t xml:space="preserve"> gehouden</w:t>
      </w:r>
      <w:r>
        <w:rPr>
          <w:rFonts w:cs="Verdana"/>
        </w:rPr>
        <w:t xml:space="preserve">. Zij houden immers hun liquide middelen </w:t>
      </w:r>
      <w:proofErr w:type="gramStart"/>
      <w:r>
        <w:rPr>
          <w:rFonts w:cs="Verdana"/>
        </w:rPr>
        <w:t>reeds</w:t>
      </w:r>
      <w:proofErr w:type="gramEnd"/>
      <w:r>
        <w:rPr>
          <w:rFonts w:cs="Verdana"/>
        </w:rPr>
        <w:t xml:space="preserve"> bij ‘s Rijks schatkist aan</w:t>
      </w:r>
      <w:r w:rsidR="00067750" w:rsidRPr="00C9093F">
        <w:rPr>
          <w:rFonts w:cs="Verdana"/>
        </w:rPr>
        <w:t>.</w:t>
      </w:r>
      <w:r w:rsidR="00295DDD">
        <w:rPr>
          <w:rFonts w:cs="Verdana"/>
        </w:rPr>
        <w:t xml:space="preserve"> </w:t>
      </w:r>
      <w:r>
        <w:rPr>
          <w:rFonts w:cs="Verdana"/>
        </w:rPr>
        <w:t>I</w:t>
      </w:r>
      <w:r w:rsidR="00067750" w:rsidRPr="00C9093F">
        <w:rPr>
          <w:rFonts w:cs="Verdana"/>
        </w:rPr>
        <w:t xml:space="preserve">n verschillende circulaires, nieuwsbrieven en in de memorie van toelichting bij de Wet verplicht schatkistbankieren en de Regeling schatkistbankieren, is de rapportageverplichting </w:t>
      </w:r>
      <w:proofErr w:type="gramStart"/>
      <w:r w:rsidR="00067750" w:rsidRPr="00C9093F">
        <w:rPr>
          <w:rFonts w:cs="Verdana"/>
        </w:rPr>
        <w:t>reeds</w:t>
      </w:r>
      <w:proofErr w:type="gramEnd"/>
      <w:r w:rsidR="00067750" w:rsidRPr="00C9093F">
        <w:rPr>
          <w:rFonts w:cs="Verdana"/>
        </w:rPr>
        <w:t xml:space="preserve"> aangekondigd. </w:t>
      </w:r>
      <w:r>
        <w:t xml:space="preserve">Openbare lichamen </w:t>
      </w:r>
      <w:r w:rsidR="00B75FE1">
        <w:t>zijn dus op de hoogte van de rapportageverplichting. H</w:t>
      </w:r>
      <w:r w:rsidR="00B75FE1">
        <w:rPr>
          <w:rFonts w:cs="Verdana"/>
        </w:rPr>
        <w:t>et afwijken van de Vaste Verander Momenten en de invoeringstermijn van drie maanden op grond van de Code Interbestuurlijk Verhoudingen is daarom niet</w:t>
      </w:r>
      <w:r w:rsidR="007728BD">
        <w:rPr>
          <w:rFonts w:cs="Verdana"/>
        </w:rPr>
        <w:t xml:space="preserve"> bezwaarlijk</w:t>
      </w:r>
      <w:r w:rsidR="007F4323">
        <w:t>.</w:t>
      </w:r>
    </w:p>
    <w:p w:rsidR="00DA1A6C" w:rsidRDefault="00DA1A6C" w:rsidP="00295DDD">
      <w:pPr>
        <w:spacing w:line="280" w:lineRule="exact"/>
        <w:rPr>
          <w:szCs w:val="18"/>
        </w:rPr>
      </w:pPr>
    </w:p>
    <w:p w:rsidR="00067750" w:rsidRPr="00C9093F" w:rsidRDefault="00067750" w:rsidP="00295DDD">
      <w:pPr>
        <w:spacing w:line="280" w:lineRule="exact"/>
        <w:rPr>
          <w:szCs w:val="18"/>
        </w:rPr>
      </w:pPr>
      <w:r w:rsidRPr="00C9093F">
        <w:rPr>
          <w:szCs w:val="18"/>
        </w:rPr>
        <w:t xml:space="preserve">De </w:t>
      </w:r>
      <w:r w:rsidR="008111A4">
        <w:rPr>
          <w:szCs w:val="18"/>
        </w:rPr>
        <w:t>m</w:t>
      </w:r>
      <w:r w:rsidRPr="00C9093F">
        <w:rPr>
          <w:szCs w:val="18"/>
        </w:rPr>
        <w:t>inister van Binnenlandse Zaken en Koninkrijksrelaties,</w:t>
      </w:r>
    </w:p>
    <w:p w:rsidR="00067750" w:rsidRDefault="00067750" w:rsidP="00295DDD">
      <w:pPr>
        <w:spacing w:line="280" w:lineRule="exact"/>
        <w:rPr>
          <w:szCs w:val="18"/>
        </w:rPr>
      </w:pPr>
    </w:p>
    <w:p w:rsidR="00295B31" w:rsidRDefault="00295B31" w:rsidP="00295DDD">
      <w:pPr>
        <w:spacing w:line="280" w:lineRule="exact"/>
        <w:rPr>
          <w:szCs w:val="18"/>
        </w:rPr>
      </w:pPr>
    </w:p>
    <w:p w:rsidR="00295B31" w:rsidRDefault="00295B31" w:rsidP="00295DDD">
      <w:pPr>
        <w:spacing w:line="280" w:lineRule="exact"/>
        <w:rPr>
          <w:szCs w:val="18"/>
        </w:rPr>
      </w:pPr>
    </w:p>
    <w:p w:rsidR="00295B31" w:rsidRDefault="00295B31" w:rsidP="00295DDD">
      <w:pPr>
        <w:spacing w:line="280" w:lineRule="exact"/>
        <w:rPr>
          <w:szCs w:val="18"/>
        </w:rPr>
      </w:pPr>
    </w:p>
    <w:p w:rsidR="00295B31" w:rsidRPr="00C9093F" w:rsidRDefault="00295B31" w:rsidP="00295DDD">
      <w:pPr>
        <w:spacing w:line="280" w:lineRule="exact"/>
        <w:rPr>
          <w:szCs w:val="18"/>
        </w:rPr>
      </w:pPr>
    </w:p>
    <w:p w:rsidR="00595284" w:rsidRPr="00C9093F" w:rsidRDefault="00067750" w:rsidP="00295DDD">
      <w:pPr>
        <w:spacing w:line="280" w:lineRule="exact"/>
        <w:rPr>
          <w:szCs w:val="18"/>
        </w:rPr>
      </w:pPr>
      <w:proofErr w:type="gramStart"/>
      <w:r w:rsidRPr="00C9093F">
        <w:rPr>
          <w:szCs w:val="18"/>
        </w:rPr>
        <w:t>dr.</w:t>
      </w:r>
      <w:proofErr w:type="gramEnd"/>
      <w:r w:rsidRPr="00C9093F">
        <w:rPr>
          <w:szCs w:val="18"/>
        </w:rPr>
        <w:t xml:space="preserve"> R.H.A. Plasterk</w:t>
      </w:r>
      <w:bookmarkStart w:id="1" w:name="HoofdstukII_Titel23_Artikel10"/>
      <w:bookmarkEnd w:id="1"/>
    </w:p>
    <w:sectPr w:rsidR="00595284" w:rsidRPr="00C9093F" w:rsidSect="007F1EE6">
      <w:headerReference w:type="default" r:id="rId15"/>
      <w:footerReference w:type="default" r:id="rId16"/>
      <w:type w:val="continuous"/>
      <w:pgSz w:w="11907" w:h="16840" w:code="9"/>
      <w:pgMar w:top="962" w:right="1758" w:bottom="1758" w:left="2041" w:header="0" w:footer="1260" w:gutter="0"/>
      <w:cols w:space="708"/>
      <w:formProt w:val="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8BD" w:rsidRDefault="007728BD" w:rsidP="00575E48">
      <w:r>
        <w:separator/>
      </w:r>
    </w:p>
  </w:endnote>
  <w:endnote w:type="continuationSeparator" w:id="0">
    <w:p w:rsidR="007728BD" w:rsidRDefault="007728BD" w:rsidP="00575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Voettekst"/>
      <w:jc w:val="right"/>
    </w:pPr>
  </w:p>
  <w:p w:rsidR="007728BD" w:rsidRDefault="007728BD" w:rsidP="00875C89">
    <w:pPr>
      <w:pStyle w:val="Voettekst"/>
      <w:tabs>
        <w:tab w:val="right" w:pos="8080"/>
      </w:tabs>
    </w:pPr>
    <w:r>
      <w:tab/>
    </w:r>
    <w:r>
      <w:tab/>
    </w:r>
    <w:r w:rsidR="003A0532">
      <w:fldChar w:fldCharType="begin"/>
    </w:r>
    <w:r w:rsidR="003A0532">
      <w:instrText xml:space="preserve"> PAGE   \* MERGEFORMAT </w:instrText>
    </w:r>
    <w:r w:rsidR="003A0532">
      <w:fldChar w:fldCharType="separate"/>
    </w:r>
    <w:r w:rsidR="003A0532">
      <w:rPr>
        <w:noProof/>
      </w:rPr>
      <w:t>2</w:t>
    </w:r>
    <w:r w:rsidR="003A0532">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8BD" w:rsidRDefault="007728BD" w:rsidP="00575E48">
      <w:r>
        <w:separator/>
      </w:r>
    </w:p>
  </w:footnote>
  <w:footnote w:type="continuationSeparator" w:id="0">
    <w:p w:rsidR="007728BD" w:rsidRDefault="007728BD" w:rsidP="00575E48">
      <w:r>
        <w:continuationSeparator/>
      </w:r>
    </w:p>
  </w:footnote>
  <w:footnote w:id="1">
    <w:p w:rsidR="007728BD" w:rsidRDefault="007728BD" w:rsidP="00067750">
      <w:pPr>
        <w:pStyle w:val="Normaalweb"/>
      </w:pPr>
      <w:r w:rsidRPr="00C76D42">
        <w:rPr>
          <w:rStyle w:val="Voetnootmarkering"/>
          <w:rFonts w:ascii="Verdana" w:hAnsi="Verdana"/>
          <w:sz w:val="16"/>
          <w:szCs w:val="16"/>
        </w:rPr>
        <w:footnoteRef/>
      </w:r>
      <w:r w:rsidRPr="00C76D42">
        <w:rPr>
          <w:rFonts w:ascii="Verdana" w:hAnsi="Verdana"/>
          <w:sz w:val="16"/>
          <w:szCs w:val="16"/>
        </w:rPr>
        <w:t xml:space="preserve"> Stb. 2013, 530</w:t>
      </w:r>
    </w:p>
  </w:footnote>
  <w:footnote w:id="2">
    <w:p w:rsidR="007728BD" w:rsidRDefault="007728BD" w:rsidP="00B0788B">
      <w:pPr>
        <w:pStyle w:val="Normaalweb"/>
        <w:spacing w:before="0" w:beforeAutospacing="0" w:after="0" w:afterAutospacing="0"/>
      </w:pPr>
      <w:r w:rsidRPr="00A35F5C">
        <w:rPr>
          <w:rStyle w:val="Voetnootmarkering"/>
          <w:rFonts w:ascii="Verdana" w:hAnsi="Verdana"/>
          <w:sz w:val="16"/>
          <w:szCs w:val="16"/>
        </w:rPr>
        <w:footnoteRef/>
      </w:r>
      <w:r w:rsidRPr="00A35F5C">
        <w:rPr>
          <w:rFonts w:ascii="Verdana" w:hAnsi="Verdana"/>
          <w:sz w:val="16"/>
          <w:szCs w:val="16"/>
        </w:rPr>
        <w:t xml:space="preserve"> </w:t>
      </w:r>
      <w:proofErr w:type="spellStart"/>
      <w:r w:rsidRPr="00A35F5C">
        <w:rPr>
          <w:rFonts w:ascii="Verdana" w:hAnsi="Verdana"/>
          <w:sz w:val="16"/>
          <w:szCs w:val="16"/>
        </w:rPr>
        <w:t>Stcrt</w:t>
      </w:r>
      <w:proofErr w:type="spellEnd"/>
      <w:r w:rsidRPr="00A35F5C">
        <w:rPr>
          <w:rFonts w:ascii="Verdana" w:hAnsi="Verdana"/>
          <w:sz w:val="16"/>
          <w:szCs w:val="16"/>
        </w:rPr>
        <w:t>. 2013, 34041</w:t>
      </w:r>
      <w:r>
        <w:rPr>
          <w:rFonts w:ascii="Verdana" w:hAnsi="Verdana"/>
          <w:sz w:val="16"/>
          <w:szCs w:val="16"/>
        </w:rPr>
        <w:t>, p. 11 en 12</w:t>
      </w:r>
    </w:p>
  </w:footnote>
  <w:footnote w:id="3">
    <w:p w:rsidR="007728BD" w:rsidRPr="00A35F5C" w:rsidRDefault="007728BD" w:rsidP="00B0788B">
      <w:pPr>
        <w:pStyle w:val="Normaalweb"/>
        <w:spacing w:before="0" w:beforeAutospacing="0" w:after="0" w:afterAutospacing="0"/>
        <w:rPr>
          <w:rFonts w:ascii="Verdana" w:hAnsi="Verdana"/>
          <w:sz w:val="16"/>
          <w:szCs w:val="16"/>
        </w:rPr>
      </w:pPr>
      <w:r w:rsidRPr="00A35F5C">
        <w:rPr>
          <w:rStyle w:val="Voetnootmarkering"/>
          <w:rFonts w:ascii="Verdana" w:hAnsi="Verdana"/>
          <w:sz w:val="16"/>
          <w:szCs w:val="16"/>
        </w:rPr>
        <w:footnoteRef/>
      </w:r>
      <w:r w:rsidRPr="00A35F5C">
        <w:rPr>
          <w:rFonts w:ascii="Verdana" w:hAnsi="Verdana"/>
          <w:sz w:val="16"/>
          <w:szCs w:val="16"/>
        </w:rPr>
        <w:t xml:space="preserve"> </w:t>
      </w:r>
      <w:r>
        <w:rPr>
          <w:rFonts w:ascii="Verdana" w:hAnsi="Verdana"/>
          <w:sz w:val="16"/>
          <w:szCs w:val="16"/>
        </w:rPr>
        <w:t>idem.</w:t>
      </w:r>
    </w:p>
    <w:p w:rsidR="007728BD" w:rsidRDefault="007728BD" w:rsidP="00067750">
      <w:pPr>
        <w:pStyle w:val="Voetnootteks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Koptekst"/>
    </w:pPr>
    <w:r w:rsidRPr="00BD315F">
      <w:rPr>
        <w:noProof/>
        <w:lang w:eastAsia="nl-NL"/>
      </w:rPr>
      <w:drawing>
        <wp:anchor distT="0" distB="0" distL="114300" distR="114300" simplePos="0" relativeHeight="251659264" behindDoc="0" locked="0" layoutInCell="1" allowOverlap="1">
          <wp:simplePos x="0" y="0"/>
          <wp:positionH relativeFrom="page">
            <wp:posOffset>802640</wp:posOffset>
          </wp:positionH>
          <wp:positionV relativeFrom="page">
            <wp:align>top</wp:align>
          </wp:positionV>
          <wp:extent cx="6633210" cy="2564765"/>
          <wp:effectExtent l="19050" t="0" r="0" b="0"/>
          <wp:wrapTopAndBottom/>
          <wp:docPr id="1" name="Afbeelding 4" descr="Wij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WA.JPG"/>
                  <pic:cNvPicPr/>
                </pic:nvPicPr>
                <pic:blipFill>
                  <a:blip r:embed="rId1"/>
                  <a:stretch>
                    <a:fillRect/>
                  </a:stretch>
                </pic:blipFill>
                <pic:spPr>
                  <a:xfrm>
                    <a:off x="0" y="0"/>
                    <a:ext cx="6633210" cy="2564765"/>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8BD" w:rsidRDefault="007728BD">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C3FC4"/>
    <w:multiLevelType w:val="hybridMultilevel"/>
    <w:tmpl w:val="8AF41D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0971C2A"/>
    <w:multiLevelType w:val="hybridMultilevel"/>
    <w:tmpl w:val="488EF4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17D18D0"/>
    <w:multiLevelType w:val="hybridMultilevel"/>
    <w:tmpl w:val="8CB20780"/>
    <w:lvl w:ilvl="0" w:tplc="2B085CA4">
      <w:start w:val="1"/>
      <w:numFmt w:val="decimal"/>
      <w:lvlText w:val="%1)"/>
      <w:lvlJc w:val="left"/>
      <w:pPr>
        <w:ind w:left="1440" w:hanging="360"/>
      </w:pPr>
      <w:rPr>
        <w:rFonts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nsid w:val="11B03155"/>
    <w:multiLevelType w:val="hybridMultilevel"/>
    <w:tmpl w:val="8A0E9F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12ED4C6F"/>
    <w:multiLevelType w:val="hybridMultilevel"/>
    <w:tmpl w:val="BBC87F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186472BE"/>
    <w:multiLevelType w:val="hybridMultilevel"/>
    <w:tmpl w:val="1892E0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1F8E507D"/>
    <w:multiLevelType w:val="hybridMultilevel"/>
    <w:tmpl w:val="B7B668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20F33F6E"/>
    <w:multiLevelType w:val="hybridMultilevel"/>
    <w:tmpl w:val="D02CBA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31C0414D"/>
    <w:multiLevelType w:val="hybridMultilevel"/>
    <w:tmpl w:val="E7FA1E5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330C1C37"/>
    <w:multiLevelType w:val="multilevel"/>
    <w:tmpl w:val="3CD42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241365"/>
    <w:multiLevelType w:val="hybridMultilevel"/>
    <w:tmpl w:val="7AE29B7A"/>
    <w:lvl w:ilvl="0" w:tplc="A03C9D8C">
      <w:start w:val="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3BBA1D24"/>
    <w:multiLevelType w:val="hybridMultilevel"/>
    <w:tmpl w:val="62EC90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3FC40BB3"/>
    <w:multiLevelType w:val="hybridMultilevel"/>
    <w:tmpl w:val="B8CAC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4ED03F43"/>
    <w:multiLevelType w:val="multilevel"/>
    <w:tmpl w:val="5622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D886739"/>
    <w:multiLevelType w:val="hybridMultilevel"/>
    <w:tmpl w:val="8D382C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61456B15"/>
    <w:multiLevelType w:val="hybridMultilevel"/>
    <w:tmpl w:val="5D281F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64142459"/>
    <w:multiLevelType w:val="hybridMultilevel"/>
    <w:tmpl w:val="DF80E3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69B51416"/>
    <w:multiLevelType w:val="hybridMultilevel"/>
    <w:tmpl w:val="DE5AC474"/>
    <w:lvl w:ilvl="0" w:tplc="82CADF2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nsid w:val="74570927"/>
    <w:multiLevelType w:val="hybridMultilevel"/>
    <w:tmpl w:val="4A889F50"/>
    <w:lvl w:ilvl="0" w:tplc="B70AB09E">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nsid w:val="750D3EB8"/>
    <w:multiLevelType w:val="multilevel"/>
    <w:tmpl w:val="9EB05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C97804"/>
    <w:multiLevelType w:val="hybridMultilevel"/>
    <w:tmpl w:val="98D0ECF6"/>
    <w:lvl w:ilvl="0" w:tplc="630E7BC4">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4"/>
  </w:num>
  <w:num w:numId="2">
    <w:abstractNumId w:val="1"/>
  </w:num>
  <w:num w:numId="3">
    <w:abstractNumId w:val="20"/>
  </w:num>
  <w:num w:numId="4">
    <w:abstractNumId w:val="10"/>
  </w:num>
  <w:num w:numId="5">
    <w:abstractNumId w:val="7"/>
  </w:num>
  <w:num w:numId="6">
    <w:abstractNumId w:val="8"/>
  </w:num>
  <w:num w:numId="7">
    <w:abstractNumId w:val="5"/>
  </w:num>
  <w:num w:numId="8">
    <w:abstractNumId w:val="15"/>
  </w:num>
  <w:num w:numId="9">
    <w:abstractNumId w:val="0"/>
  </w:num>
  <w:num w:numId="10">
    <w:abstractNumId w:val="11"/>
  </w:num>
  <w:num w:numId="11">
    <w:abstractNumId w:val="16"/>
  </w:num>
  <w:num w:numId="12">
    <w:abstractNumId w:val="3"/>
  </w:num>
  <w:num w:numId="13">
    <w:abstractNumId w:val="4"/>
  </w:num>
  <w:num w:numId="14">
    <w:abstractNumId w:val="13"/>
  </w:num>
  <w:num w:numId="15">
    <w:abstractNumId w:val="9"/>
  </w:num>
  <w:num w:numId="16">
    <w:abstractNumId w:val="2"/>
  </w:num>
  <w:num w:numId="17">
    <w:abstractNumId w:val="12"/>
  </w:num>
  <w:num w:numId="18">
    <w:abstractNumId w:val="19"/>
  </w:num>
  <w:num w:numId="19">
    <w:abstractNumId w:val="6"/>
  </w:num>
  <w:num w:numId="20">
    <w:abstractNumId w:val="1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drawingGridHorizontalSpacing w:val="9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5F0"/>
    <w:rsid w:val="000021DE"/>
    <w:rsid w:val="00011795"/>
    <w:rsid w:val="00016B36"/>
    <w:rsid w:val="00020550"/>
    <w:rsid w:val="00020CB4"/>
    <w:rsid w:val="00026AC4"/>
    <w:rsid w:val="00027CD5"/>
    <w:rsid w:val="00050BE5"/>
    <w:rsid w:val="00060B70"/>
    <w:rsid w:val="00064042"/>
    <w:rsid w:val="000650AF"/>
    <w:rsid w:val="00067750"/>
    <w:rsid w:val="00074FBE"/>
    <w:rsid w:val="000774A6"/>
    <w:rsid w:val="00083990"/>
    <w:rsid w:val="0009347D"/>
    <w:rsid w:val="000953D0"/>
    <w:rsid w:val="000A0FB1"/>
    <w:rsid w:val="000A5C5B"/>
    <w:rsid w:val="000B4AEC"/>
    <w:rsid w:val="000D2758"/>
    <w:rsid w:val="000D4E54"/>
    <w:rsid w:val="000D590F"/>
    <w:rsid w:val="000F5954"/>
    <w:rsid w:val="000F7E6D"/>
    <w:rsid w:val="00101AF1"/>
    <w:rsid w:val="00135A97"/>
    <w:rsid w:val="00135F63"/>
    <w:rsid w:val="00137E95"/>
    <w:rsid w:val="00143C8D"/>
    <w:rsid w:val="001554C1"/>
    <w:rsid w:val="001619BB"/>
    <w:rsid w:val="00162381"/>
    <w:rsid w:val="001727BD"/>
    <w:rsid w:val="00183FE5"/>
    <w:rsid w:val="00193591"/>
    <w:rsid w:val="001A1521"/>
    <w:rsid w:val="001B0F81"/>
    <w:rsid w:val="001B4448"/>
    <w:rsid w:val="001D02CE"/>
    <w:rsid w:val="001D4CD5"/>
    <w:rsid w:val="001D614C"/>
    <w:rsid w:val="001D63A8"/>
    <w:rsid w:val="00207588"/>
    <w:rsid w:val="00210BD0"/>
    <w:rsid w:val="0021376D"/>
    <w:rsid w:val="00224B3A"/>
    <w:rsid w:val="00241AF6"/>
    <w:rsid w:val="002427F2"/>
    <w:rsid w:val="00243137"/>
    <w:rsid w:val="002569F6"/>
    <w:rsid w:val="002951D8"/>
    <w:rsid w:val="00295B31"/>
    <w:rsid w:val="00295DDD"/>
    <w:rsid w:val="002A034B"/>
    <w:rsid w:val="002A1F2C"/>
    <w:rsid w:val="002D7231"/>
    <w:rsid w:val="002E06F7"/>
    <w:rsid w:val="002E6125"/>
    <w:rsid w:val="002E6B64"/>
    <w:rsid w:val="002F5DBC"/>
    <w:rsid w:val="002F68FB"/>
    <w:rsid w:val="00311C1C"/>
    <w:rsid w:val="0031231A"/>
    <w:rsid w:val="003138F0"/>
    <w:rsid w:val="00323173"/>
    <w:rsid w:val="0032524A"/>
    <w:rsid w:val="00330AC5"/>
    <w:rsid w:val="00332085"/>
    <w:rsid w:val="00340048"/>
    <w:rsid w:val="00351608"/>
    <w:rsid w:val="003518E1"/>
    <w:rsid w:val="00360F10"/>
    <w:rsid w:val="00374ED4"/>
    <w:rsid w:val="00377228"/>
    <w:rsid w:val="003774B8"/>
    <w:rsid w:val="00382335"/>
    <w:rsid w:val="00383386"/>
    <w:rsid w:val="00383DC9"/>
    <w:rsid w:val="003857F5"/>
    <w:rsid w:val="00386B6D"/>
    <w:rsid w:val="003A0532"/>
    <w:rsid w:val="003B103B"/>
    <w:rsid w:val="003B2313"/>
    <w:rsid w:val="003B6C1F"/>
    <w:rsid w:val="003C1785"/>
    <w:rsid w:val="003C589F"/>
    <w:rsid w:val="003C5EAE"/>
    <w:rsid w:val="003D0F52"/>
    <w:rsid w:val="003E1C13"/>
    <w:rsid w:val="003F292F"/>
    <w:rsid w:val="003F38EF"/>
    <w:rsid w:val="00403EF2"/>
    <w:rsid w:val="00437627"/>
    <w:rsid w:val="00442D45"/>
    <w:rsid w:val="004604D3"/>
    <w:rsid w:val="004964DB"/>
    <w:rsid w:val="004A149F"/>
    <w:rsid w:val="004A288C"/>
    <w:rsid w:val="004A3E95"/>
    <w:rsid w:val="004B6077"/>
    <w:rsid w:val="004C6B58"/>
    <w:rsid w:val="004D33AA"/>
    <w:rsid w:val="004F45F2"/>
    <w:rsid w:val="004F50B3"/>
    <w:rsid w:val="004F5A32"/>
    <w:rsid w:val="004F7055"/>
    <w:rsid w:val="005118FD"/>
    <w:rsid w:val="00514754"/>
    <w:rsid w:val="005150B1"/>
    <w:rsid w:val="0052160A"/>
    <w:rsid w:val="00523B9A"/>
    <w:rsid w:val="0052585A"/>
    <w:rsid w:val="00537AC8"/>
    <w:rsid w:val="00541C3D"/>
    <w:rsid w:val="0055663E"/>
    <w:rsid w:val="00557351"/>
    <w:rsid w:val="0056514B"/>
    <w:rsid w:val="005675D9"/>
    <w:rsid w:val="00575E48"/>
    <w:rsid w:val="0058162D"/>
    <w:rsid w:val="0058311A"/>
    <w:rsid w:val="00587353"/>
    <w:rsid w:val="00595284"/>
    <w:rsid w:val="005A06B3"/>
    <w:rsid w:val="005A07DC"/>
    <w:rsid w:val="005A797F"/>
    <w:rsid w:val="005B6BF3"/>
    <w:rsid w:val="005C53BB"/>
    <w:rsid w:val="005D36A9"/>
    <w:rsid w:val="005D51C5"/>
    <w:rsid w:val="005D5F8B"/>
    <w:rsid w:val="005E284A"/>
    <w:rsid w:val="005E3AFB"/>
    <w:rsid w:val="00600A82"/>
    <w:rsid w:val="006021F2"/>
    <w:rsid w:val="00604990"/>
    <w:rsid w:val="00617154"/>
    <w:rsid w:val="00622E5D"/>
    <w:rsid w:val="006306C0"/>
    <w:rsid w:val="00634421"/>
    <w:rsid w:val="0064340F"/>
    <w:rsid w:val="00652A6F"/>
    <w:rsid w:val="0065465D"/>
    <w:rsid w:val="00656653"/>
    <w:rsid w:val="00662446"/>
    <w:rsid w:val="00663E51"/>
    <w:rsid w:val="0067026C"/>
    <w:rsid w:val="006730F0"/>
    <w:rsid w:val="00677BE4"/>
    <w:rsid w:val="006A3411"/>
    <w:rsid w:val="006A520C"/>
    <w:rsid w:val="006B4A15"/>
    <w:rsid w:val="006D1B51"/>
    <w:rsid w:val="006D6B4D"/>
    <w:rsid w:val="006D761B"/>
    <w:rsid w:val="006F282C"/>
    <w:rsid w:val="006F4D84"/>
    <w:rsid w:val="006F7AAC"/>
    <w:rsid w:val="00701500"/>
    <w:rsid w:val="00712A9C"/>
    <w:rsid w:val="007175F9"/>
    <w:rsid w:val="0072222A"/>
    <w:rsid w:val="007251A6"/>
    <w:rsid w:val="00725C1D"/>
    <w:rsid w:val="00726C0B"/>
    <w:rsid w:val="00737CF4"/>
    <w:rsid w:val="00746E0C"/>
    <w:rsid w:val="00761701"/>
    <w:rsid w:val="007728BD"/>
    <w:rsid w:val="00786C79"/>
    <w:rsid w:val="00790B15"/>
    <w:rsid w:val="007910A9"/>
    <w:rsid w:val="00792222"/>
    <w:rsid w:val="007A3227"/>
    <w:rsid w:val="007A3582"/>
    <w:rsid w:val="007A4047"/>
    <w:rsid w:val="007D6A56"/>
    <w:rsid w:val="007E70DD"/>
    <w:rsid w:val="007E7F40"/>
    <w:rsid w:val="007F1EE6"/>
    <w:rsid w:val="007F42A9"/>
    <w:rsid w:val="007F4323"/>
    <w:rsid w:val="007F7F7B"/>
    <w:rsid w:val="00801095"/>
    <w:rsid w:val="008017C7"/>
    <w:rsid w:val="008111A4"/>
    <w:rsid w:val="00811D40"/>
    <w:rsid w:val="0081325F"/>
    <w:rsid w:val="00820F0B"/>
    <w:rsid w:val="008246C8"/>
    <w:rsid w:val="008357E4"/>
    <w:rsid w:val="00865796"/>
    <w:rsid w:val="00874AD0"/>
    <w:rsid w:val="00875C89"/>
    <w:rsid w:val="0087650A"/>
    <w:rsid w:val="00883BF5"/>
    <w:rsid w:val="00885174"/>
    <w:rsid w:val="00886E54"/>
    <w:rsid w:val="008A4DA0"/>
    <w:rsid w:val="008B1956"/>
    <w:rsid w:val="008B197F"/>
    <w:rsid w:val="008D1643"/>
    <w:rsid w:val="008D5FEB"/>
    <w:rsid w:val="008D7307"/>
    <w:rsid w:val="008D7513"/>
    <w:rsid w:val="008E0A30"/>
    <w:rsid w:val="008E1484"/>
    <w:rsid w:val="008E1BB3"/>
    <w:rsid w:val="008E489B"/>
    <w:rsid w:val="008F7D02"/>
    <w:rsid w:val="00900509"/>
    <w:rsid w:val="00905721"/>
    <w:rsid w:val="0091747B"/>
    <w:rsid w:val="00926E59"/>
    <w:rsid w:val="00932A3D"/>
    <w:rsid w:val="00932C34"/>
    <w:rsid w:val="00934932"/>
    <w:rsid w:val="009524C4"/>
    <w:rsid w:val="009617AA"/>
    <w:rsid w:val="009645F0"/>
    <w:rsid w:val="00970CA8"/>
    <w:rsid w:val="009903FE"/>
    <w:rsid w:val="00993603"/>
    <w:rsid w:val="0099664B"/>
    <w:rsid w:val="009A06FB"/>
    <w:rsid w:val="009B012B"/>
    <w:rsid w:val="009B336A"/>
    <w:rsid w:val="009B3ADE"/>
    <w:rsid w:val="009C5F32"/>
    <w:rsid w:val="009D0A1A"/>
    <w:rsid w:val="009D0DC3"/>
    <w:rsid w:val="009D1306"/>
    <w:rsid w:val="009D6497"/>
    <w:rsid w:val="009E1F01"/>
    <w:rsid w:val="009F214E"/>
    <w:rsid w:val="009F2301"/>
    <w:rsid w:val="00A00DA5"/>
    <w:rsid w:val="00A055E2"/>
    <w:rsid w:val="00A17C6E"/>
    <w:rsid w:val="00A32F15"/>
    <w:rsid w:val="00A37814"/>
    <w:rsid w:val="00A3792F"/>
    <w:rsid w:val="00A43B60"/>
    <w:rsid w:val="00A464D5"/>
    <w:rsid w:val="00A470CE"/>
    <w:rsid w:val="00A52C3C"/>
    <w:rsid w:val="00A60548"/>
    <w:rsid w:val="00A63D78"/>
    <w:rsid w:val="00A73329"/>
    <w:rsid w:val="00A741E3"/>
    <w:rsid w:val="00A83E4A"/>
    <w:rsid w:val="00AA0BC9"/>
    <w:rsid w:val="00AA5E5E"/>
    <w:rsid w:val="00AB7554"/>
    <w:rsid w:val="00AC099C"/>
    <w:rsid w:val="00AC3D35"/>
    <w:rsid w:val="00AD21DA"/>
    <w:rsid w:val="00AF0510"/>
    <w:rsid w:val="00AF10D4"/>
    <w:rsid w:val="00AF1627"/>
    <w:rsid w:val="00B04909"/>
    <w:rsid w:val="00B0788B"/>
    <w:rsid w:val="00B2119E"/>
    <w:rsid w:val="00B25389"/>
    <w:rsid w:val="00B3288F"/>
    <w:rsid w:val="00B53B5E"/>
    <w:rsid w:val="00B57FC5"/>
    <w:rsid w:val="00B60F4A"/>
    <w:rsid w:val="00B7001E"/>
    <w:rsid w:val="00B72203"/>
    <w:rsid w:val="00B7287E"/>
    <w:rsid w:val="00B75FE1"/>
    <w:rsid w:val="00B76F5A"/>
    <w:rsid w:val="00B82F87"/>
    <w:rsid w:val="00BA4E21"/>
    <w:rsid w:val="00BB3E56"/>
    <w:rsid w:val="00BD1CB3"/>
    <w:rsid w:val="00BD315F"/>
    <w:rsid w:val="00BE0257"/>
    <w:rsid w:val="00BE10D1"/>
    <w:rsid w:val="00BE179E"/>
    <w:rsid w:val="00BE4BC4"/>
    <w:rsid w:val="00BE76B1"/>
    <w:rsid w:val="00BF27CF"/>
    <w:rsid w:val="00BF40D9"/>
    <w:rsid w:val="00C036C2"/>
    <w:rsid w:val="00C047E7"/>
    <w:rsid w:val="00C14760"/>
    <w:rsid w:val="00C22A3D"/>
    <w:rsid w:val="00C2643C"/>
    <w:rsid w:val="00C32ADD"/>
    <w:rsid w:val="00C32FE6"/>
    <w:rsid w:val="00C3606B"/>
    <w:rsid w:val="00C439F8"/>
    <w:rsid w:val="00C46307"/>
    <w:rsid w:val="00C512CC"/>
    <w:rsid w:val="00C61FC7"/>
    <w:rsid w:val="00C7261C"/>
    <w:rsid w:val="00C77A9B"/>
    <w:rsid w:val="00C9093F"/>
    <w:rsid w:val="00C912DA"/>
    <w:rsid w:val="00CA13D6"/>
    <w:rsid w:val="00CB0EF0"/>
    <w:rsid w:val="00CC329A"/>
    <w:rsid w:val="00CD4C8F"/>
    <w:rsid w:val="00CE1C79"/>
    <w:rsid w:val="00CE3F85"/>
    <w:rsid w:val="00CE5920"/>
    <w:rsid w:val="00D11387"/>
    <w:rsid w:val="00D128A5"/>
    <w:rsid w:val="00D1707F"/>
    <w:rsid w:val="00D207F1"/>
    <w:rsid w:val="00D209CE"/>
    <w:rsid w:val="00D233D8"/>
    <w:rsid w:val="00D30FB0"/>
    <w:rsid w:val="00D3288F"/>
    <w:rsid w:val="00D461A9"/>
    <w:rsid w:val="00D54A3B"/>
    <w:rsid w:val="00D60794"/>
    <w:rsid w:val="00D66775"/>
    <w:rsid w:val="00D87D7A"/>
    <w:rsid w:val="00D978A6"/>
    <w:rsid w:val="00DA1A6C"/>
    <w:rsid w:val="00DA26F9"/>
    <w:rsid w:val="00DA3CAE"/>
    <w:rsid w:val="00DA4F7B"/>
    <w:rsid w:val="00DA60B0"/>
    <w:rsid w:val="00DC0720"/>
    <w:rsid w:val="00DC483D"/>
    <w:rsid w:val="00DD0EC6"/>
    <w:rsid w:val="00E14B3B"/>
    <w:rsid w:val="00E155A4"/>
    <w:rsid w:val="00E23ED7"/>
    <w:rsid w:val="00E3077D"/>
    <w:rsid w:val="00E328D3"/>
    <w:rsid w:val="00E34008"/>
    <w:rsid w:val="00E562D5"/>
    <w:rsid w:val="00E610BA"/>
    <w:rsid w:val="00E620CB"/>
    <w:rsid w:val="00E63D31"/>
    <w:rsid w:val="00E71493"/>
    <w:rsid w:val="00E73474"/>
    <w:rsid w:val="00E754DC"/>
    <w:rsid w:val="00E75BA9"/>
    <w:rsid w:val="00E7682D"/>
    <w:rsid w:val="00E91DFD"/>
    <w:rsid w:val="00EA2972"/>
    <w:rsid w:val="00EA424A"/>
    <w:rsid w:val="00EB0209"/>
    <w:rsid w:val="00EC0A86"/>
    <w:rsid w:val="00EE37F1"/>
    <w:rsid w:val="00EE40FF"/>
    <w:rsid w:val="00F04747"/>
    <w:rsid w:val="00F06C6D"/>
    <w:rsid w:val="00F22CDC"/>
    <w:rsid w:val="00F26CC6"/>
    <w:rsid w:val="00F333FB"/>
    <w:rsid w:val="00F34243"/>
    <w:rsid w:val="00F508A6"/>
    <w:rsid w:val="00F56E55"/>
    <w:rsid w:val="00F62E0C"/>
    <w:rsid w:val="00F6765A"/>
    <w:rsid w:val="00F82ADA"/>
    <w:rsid w:val="00F850B7"/>
    <w:rsid w:val="00F8511C"/>
    <w:rsid w:val="00F85A97"/>
    <w:rsid w:val="00F873BA"/>
    <w:rsid w:val="00FA588C"/>
    <w:rsid w:val="00FB257B"/>
    <w:rsid w:val="00FB5444"/>
    <w:rsid w:val="00FB6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95284"/>
    <w:pPr>
      <w:spacing w:after="0"/>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75E48"/>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semiHidden/>
    <w:rsid w:val="00575E48"/>
  </w:style>
  <w:style w:type="paragraph" w:styleId="Voettekst">
    <w:name w:val="footer"/>
    <w:basedOn w:val="Standaard"/>
    <w:link w:val="VoettekstChar"/>
    <w:uiPriority w:val="99"/>
    <w:unhideWhenUsed/>
    <w:rsid w:val="00575E48"/>
    <w:pPr>
      <w:tabs>
        <w:tab w:val="center" w:pos="4536"/>
        <w:tab w:val="right" w:pos="9072"/>
      </w:tabs>
    </w:pPr>
  </w:style>
  <w:style w:type="character" w:customStyle="1" w:styleId="VoettekstChar">
    <w:name w:val="Voettekst Char"/>
    <w:basedOn w:val="Standaardalinea-lettertype"/>
    <w:link w:val="Voettekst"/>
    <w:uiPriority w:val="99"/>
    <w:rsid w:val="00575E48"/>
  </w:style>
  <w:style w:type="paragraph" w:styleId="Lijstalinea">
    <w:name w:val="List Paragraph"/>
    <w:basedOn w:val="Standaard"/>
    <w:uiPriority w:val="34"/>
    <w:qFormat/>
    <w:rsid w:val="009645F0"/>
    <w:pPr>
      <w:ind w:left="720"/>
      <w:contextualSpacing/>
    </w:pPr>
  </w:style>
  <w:style w:type="character" w:styleId="Verwijzingopmerking">
    <w:name w:val="annotation reference"/>
    <w:basedOn w:val="Standaardalinea-lettertype"/>
    <w:semiHidden/>
    <w:unhideWhenUsed/>
    <w:rsid w:val="00761701"/>
    <w:rPr>
      <w:sz w:val="16"/>
      <w:szCs w:val="16"/>
    </w:rPr>
  </w:style>
  <w:style w:type="paragraph" w:styleId="Tekstopmerking">
    <w:name w:val="annotation text"/>
    <w:basedOn w:val="Standaard"/>
    <w:link w:val="TekstopmerkingChar"/>
    <w:uiPriority w:val="99"/>
    <w:unhideWhenUsed/>
    <w:rsid w:val="00761701"/>
    <w:pPr>
      <w:spacing w:line="240" w:lineRule="auto"/>
    </w:pPr>
    <w:rPr>
      <w:sz w:val="20"/>
      <w:szCs w:val="20"/>
    </w:rPr>
  </w:style>
  <w:style w:type="character" w:customStyle="1" w:styleId="TekstopmerkingChar">
    <w:name w:val="Tekst opmerking Char"/>
    <w:basedOn w:val="Standaardalinea-lettertype"/>
    <w:link w:val="Tekstopmerking"/>
    <w:uiPriority w:val="99"/>
    <w:rsid w:val="00761701"/>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761701"/>
    <w:rPr>
      <w:b/>
      <w:bCs/>
    </w:rPr>
  </w:style>
  <w:style w:type="character" w:customStyle="1" w:styleId="OnderwerpvanopmerkingChar">
    <w:name w:val="Onderwerp van opmerking Char"/>
    <w:basedOn w:val="TekstopmerkingChar"/>
    <w:link w:val="Onderwerpvanopmerking"/>
    <w:uiPriority w:val="99"/>
    <w:semiHidden/>
    <w:rsid w:val="00761701"/>
    <w:rPr>
      <w:rFonts w:ascii="Verdana" w:hAnsi="Verdana"/>
      <w:b/>
      <w:bCs/>
      <w:sz w:val="20"/>
      <w:szCs w:val="20"/>
    </w:rPr>
  </w:style>
  <w:style w:type="paragraph" w:styleId="Ballontekst">
    <w:name w:val="Balloon Text"/>
    <w:basedOn w:val="Standaard"/>
    <w:link w:val="BallontekstChar"/>
    <w:uiPriority w:val="99"/>
    <w:semiHidden/>
    <w:unhideWhenUsed/>
    <w:rsid w:val="0076170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61701"/>
    <w:rPr>
      <w:rFonts w:ascii="Tahoma" w:hAnsi="Tahoma" w:cs="Tahoma"/>
      <w:sz w:val="16"/>
      <w:szCs w:val="16"/>
    </w:rPr>
  </w:style>
  <w:style w:type="paragraph" w:customStyle="1" w:styleId="Default">
    <w:name w:val="Default"/>
    <w:rsid w:val="00B57FC5"/>
    <w:pPr>
      <w:autoSpaceDE w:val="0"/>
      <w:autoSpaceDN w:val="0"/>
      <w:adjustRightInd w:val="0"/>
      <w:spacing w:after="0" w:line="240" w:lineRule="auto"/>
    </w:pPr>
    <w:rPr>
      <w:rFonts w:ascii="Verdana" w:hAnsi="Verdana" w:cs="Verdana"/>
      <w:color w:val="000000"/>
      <w:sz w:val="24"/>
      <w:szCs w:val="24"/>
    </w:rPr>
  </w:style>
  <w:style w:type="paragraph" w:styleId="Voetnoottekst">
    <w:name w:val="footnote text"/>
    <w:basedOn w:val="Standaard"/>
    <w:link w:val="VoetnoottekstChar"/>
    <w:uiPriority w:val="99"/>
    <w:semiHidden/>
    <w:unhideWhenUsed/>
    <w:rsid w:val="00B57FC5"/>
    <w:pPr>
      <w:overflowPunct w:val="0"/>
      <w:autoSpaceDE w:val="0"/>
      <w:autoSpaceDN w:val="0"/>
      <w:adjustRightInd w:val="0"/>
      <w:spacing w:line="240" w:lineRule="auto"/>
      <w:textAlignment w:val="baseline"/>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uiPriority w:val="99"/>
    <w:semiHidden/>
    <w:rsid w:val="00B57FC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B57FC5"/>
    <w:rPr>
      <w:vertAlign w:val="superscript"/>
    </w:rPr>
  </w:style>
  <w:style w:type="paragraph" w:customStyle="1" w:styleId="al">
    <w:name w:val="al"/>
    <w:basedOn w:val="Standaard"/>
    <w:rsid w:val="00701500"/>
    <w:pPr>
      <w:spacing w:before="100" w:beforeAutospacing="1" w:after="100" w:afterAutospacing="1"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59"/>
    <w:rsid w:val="004C6B58"/>
    <w:pPr>
      <w:spacing w:after="0" w:line="240" w:lineRule="auto"/>
    </w:pPr>
    <w:rPr>
      <w:rFonts w:eastAsiaTheme="minorEastAsia"/>
      <w:lang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alweb">
    <w:name w:val="Normal (Web)"/>
    <w:basedOn w:val="Standaard"/>
    <w:uiPriority w:val="99"/>
    <w:unhideWhenUsed/>
    <w:rsid w:val="0006775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roodtekst">
    <w:name w:val="broodtekst"/>
    <w:basedOn w:val="Standaard"/>
    <w:rsid w:val="00AA0BC9"/>
    <w:pPr>
      <w:tabs>
        <w:tab w:val="left" w:pos="227"/>
        <w:tab w:val="left" w:pos="454"/>
        <w:tab w:val="left" w:pos="680"/>
      </w:tabs>
      <w:autoSpaceDE w:val="0"/>
      <w:autoSpaceDN w:val="0"/>
      <w:adjustRightInd w:val="0"/>
      <w:spacing w:line="240" w:lineRule="atLeast"/>
    </w:pPr>
    <w:rPr>
      <w:rFonts w:eastAsia="Times New Roman" w:cs="Times New Roman"/>
      <w:szCs w:val="18"/>
      <w:lang w:eastAsia="nl-NL"/>
    </w:rPr>
  </w:style>
  <w:style w:type="paragraph" w:styleId="Geenafstand">
    <w:name w:val="No Spacing"/>
    <w:uiPriority w:val="1"/>
    <w:qFormat/>
    <w:rsid w:val="003A0532"/>
    <w:pPr>
      <w:spacing w:after="0" w:line="240" w:lineRule="auto"/>
    </w:pPr>
    <w:rPr>
      <w:rFonts w:ascii="Verdana" w:hAnsi="Verdana"/>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95284"/>
    <w:pPr>
      <w:spacing w:after="0"/>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75E48"/>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semiHidden/>
    <w:rsid w:val="00575E48"/>
  </w:style>
  <w:style w:type="paragraph" w:styleId="Voettekst">
    <w:name w:val="footer"/>
    <w:basedOn w:val="Standaard"/>
    <w:link w:val="VoettekstChar"/>
    <w:uiPriority w:val="99"/>
    <w:unhideWhenUsed/>
    <w:rsid w:val="00575E48"/>
    <w:pPr>
      <w:tabs>
        <w:tab w:val="center" w:pos="4536"/>
        <w:tab w:val="right" w:pos="9072"/>
      </w:tabs>
    </w:pPr>
  </w:style>
  <w:style w:type="character" w:customStyle="1" w:styleId="VoettekstChar">
    <w:name w:val="Voettekst Char"/>
    <w:basedOn w:val="Standaardalinea-lettertype"/>
    <w:link w:val="Voettekst"/>
    <w:uiPriority w:val="99"/>
    <w:rsid w:val="00575E48"/>
  </w:style>
  <w:style w:type="paragraph" w:styleId="Lijstalinea">
    <w:name w:val="List Paragraph"/>
    <w:basedOn w:val="Standaard"/>
    <w:uiPriority w:val="34"/>
    <w:qFormat/>
    <w:rsid w:val="009645F0"/>
    <w:pPr>
      <w:ind w:left="720"/>
      <w:contextualSpacing/>
    </w:pPr>
  </w:style>
  <w:style w:type="character" w:styleId="Verwijzingopmerking">
    <w:name w:val="annotation reference"/>
    <w:basedOn w:val="Standaardalinea-lettertype"/>
    <w:semiHidden/>
    <w:unhideWhenUsed/>
    <w:rsid w:val="00761701"/>
    <w:rPr>
      <w:sz w:val="16"/>
      <w:szCs w:val="16"/>
    </w:rPr>
  </w:style>
  <w:style w:type="paragraph" w:styleId="Tekstopmerking">
    <w:name w:val="annotation text"/>
    <w:basedOn w:val="Standaard"/>
    <w:link w:val="TekstopmerkingChar"/>
    <w:uiPriority w:val="99"/>
    <w:unhideWhenUsed/>
    <w:rsid w:val="00761701"/>
    <w:pPr>
      <w:spacing w:line="240" w:lineRule="auto"/>
    </w:pPr>
    <w:rPr>
      <w:sz w:val="20"/>
      <w:szCs w:val="20"/>
    </w:rPr>
  </w:style>
  <w:style w:type="character" w:customStyle="1" w:styleId="TekstopmerkingChar">
    <w:name w:val="Tekst opmerking Char"/>
    <w:basedOn w:val="Standaardalinea-lettertype"/>
    <w:link w:val="Tekstopmerking"/>
    <w:uiPriority w:val="99"/>
    <w:rsid w:val="00761701"/>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761701"/>
    <w:rPr>
      <w:b/>
      <w:bCs/>
    </w:rPr>
  </w:style>
  <w:style w:type="character" w:customStyle="1" w:styleId="OnderwerpvanopmerkingChar">
    <w:name w:val="Onderwerp van opmerking Char"/>
    <w:basedOn w:val="TekstopmerkingChar"/>
    <w:link w:val="Onderwerpvanopmerking"/>
    <w:uiPriority w:val="99"/>
    <w:semiHidden/>
    <w:rsid w:val="00761701"/>
    <w:rPr>
      <w:rFonts w:ascii="Verdana" w:hAnsi="Verdana"/>
      <w:b/>
      <w:bCs/>
      <w:sz w:val="20"/>
      <w:szCs w:val="20"/>
    </w:rPr>
  </w:style>
  <w:style w:type="paragraph" w:styleId="Ballontekst">
    <w:name w:val="Balloon Text"/>
    <w:basedOn w:val="Standaard"/>
    <w:link w:val="BallontekstChar"/>
    <w:uiPriority w:val="99"/>
    <w:semiHidden/>
    <w:unhideWhenUsed/>
    <w:rsid w:val="0076170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61701"/>
    <w:rPr>
      <w:rFonts w:ascii="Tahoma" w:hAnsi="Tahoma" w:cs="Tahoma"/>
      <w:sz w:val="16"/>
      <w:szCs w:val="16"/>
    </w:rPr>
  </w:style>
  <w:style w:type="paragraph" w:customStyle="1" w:styleId="Default">
    <w:name w:val="Default"/>
    <w:rsid w:val="00B57FC5"/>
    <w:pPr>
      <w:autoSpaceDE w:val="0"/>
      <w:autoSpaceDN w:val="0"/>
      <w:adjustRightInd w:val="0"/>
      <w:spacing w:after="0" w:line="240" w:lineRule="auto"/>
    </w:pPr>
    <w:rPr>
      <w:rFonts w:ascii="Verdana" w:hAnsi="Verdana" w:cs="Verdana"/>
      <w:color w:val="000000"/>
      <w:sz w:val="24"/>
      <w:szCs w:val="24"/>
    </w:rPr>
  </w:style>
  <w:style w:type="paragraph" w:styleId="Voetnoottekst">
    <w:name w:val="footnote text"/>
    <w:basedOn w:val="Standaard"/>
    <w:link w:val="VoetnoottekstChar"/>
    <w:uiPriority w:val="99"/>
    <w:semiHidden/>
    <w:unhideWhenUsed/>
    <w:rsid w:val="00B57FC5"/>
    <w:pPr>
      <w:overflowPunct w:val="0"/>
      <w:autoSpaceDE w:val="0"/>
      <w:autoSpaceDN w:val="0"/>
      <w:adjustRightInd w:val="0"/>
      <w:spacing w:line="240" w:lineRule="auto"/>
      <w:textAlignment w:val="baseline"/>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uiPriority w:val="99"/>
    <w:semiHidden/>
    <w:rsid w:val="00B57FC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B57FC5"/>
    <w:rPr>
      <w:vertAlign w:val="superscript"/>
    </w:rPr>
  </w:style>
  <w:style w:type="paragraph" w:customStyle="1" w:styleId="al">
    <w:name w:val="al"/>
    <w:basedOn w:val="Standaard"/>
    <w:rsid w:val="00701500"/>
    <w:pPr>
      <w:spacing w:before="100" w:beforeAutospacing="1" w:after="100" w:afterAutospacing="1"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59"/>
    <w:rsid w:val="004C6B58"/>
    <w:pPr>
      <w:spacing w:after="0" w:line="240" w:lineRule="auto"/>
    </w:pPr>
    <w:rPr>
      <w:rFonts w:eastAsiaTheme="minorEastAsia"/>
      <w:lang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alweb">
    <w:name w:val="Normal (Web)"/>
    <w:basedOn w:val="Standaard"/>
    <w:uiPriority w:val="99"/>
    <w:unhideWhenUsed/>
    <w:rsid w:val="0006775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roodtekst">
    <w:name w:val="broodtekst"/>
    <w:basedOn w:val="Standaard"/>
    <w:rsid w:val="00AA0BC9"/>
    <w:pPr>
      <w:tabs>
        <w:tab w:val="left" w:pos="227"/>
        <w:tab w:val="left" w:pos="454"/>
        <w:tab w:val="left" w:pos="680"/>
      </w:tabs>
      <w:autoSpaceDE w:val="0"/>
      <w:autoSpaceDN w:val="0"/>
      <w:adjustRightInd w:val="0"/>
      <w:spacing w:line="240" w:lineRule="atLeast"/>
    </w:pPr>
    <w:rPr>
      <w:rFonts w:eastAsia="Times New Roman" w:cs="Times New Roman"/>
      <w:szCs w:val="18"/>
      <w:lang w:eastAsia="nl-NL"/>
    </w:rPr>
  </w:style>
  <w:style w:type="paragraph" w:styleId="Geenafstand">
    <w:name w:val="No Spacing"/>
    <w:uiPriority w:val="1"/>
    <w:qFormat/>
    <w:rsid w:val="003A0532"/>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088422">
      <w:bodyDiv w:val="1"/>
      <w:marLeft w:val="0"/>
      <w:marRight w:val="0"/>
      <w:marTop w:val="0"/>
      <w:marBottom w:val="0"/>
      <w:divBdr>
        <w:top w:val="none" w:sz="0" w:space="0" w:color="auto"/>
        <w:left w:val="none" w:sz="0" w:space="0" w:color="auto"/>
        <w:bottom w:val="none" w:sz="0" w:space="0" w:color="auto"/>
        <w:right w:val="none" w:sz="0" w:space="0" w:color="auto"/>
      </w:divBdr>
    </w:div>
    <w:div w:id="1123157616">
      <w:bodyDiv w:val="1"/>
      <w:marLeft w:val="0"/>
      <w:marRight w:val="0"/>
      <w:marTop w:val="0"/>
      <w:marBottom w:val="0"/>
      <w:divBdr>
        <w:top w:val="none" w:sz="0" w:space="0" w:color="auto"/>
        <w:left w:val="none" w:sz="0" w:space="0" w:color="auto"/>
        <w:bottom w:val="none" w:sz="0" w:space="0" w:color="auto"/>
        <w:right w:val="none" w:sz="0" w:space="0" w:color="auto"/>
      </w:divBdr>
      <w:divsChild>
        <w:div w:id="1105688232">
          <w:marLeft w:val="0"/>
          <w:marRight w:val="0"/>
          <w:marTop w:val="0"/>
          <w:marBottom w:val="0"/>
          <w:divBdr>
            <w:top w:val="none" w:sz="0" w:space="0" w:color="auto"/>
            <w:left w:val="none" w:sz="0" w:space="0" w:color="auto"/>
            <w:bottom w:val="none" w:sz="0" w:space="0" w:color="auto"/>
            <w:right w:val="none" w:sz="0" w:space="0" w:color="auto"/>
          </w:divBdr>
          <w:divsChild>
            <w:div w:id="518616457">
              <w:marLeft w:val="0"/>
              <w:marRight w:val="0"/>
              <w:marTop w:val="0"/>
              <w:marBottom w:val="0"/>
              <w:divBdr>
                <w:top w:val="none" w:sz="0" w:space="0" w:color="auto"/>
                <w:left w:val="none" w:sz="0" w:space="0" w:color="auto"/>
                <w:bottom w:val="none" w:sz="0" w:space="0" w:color="auto"/>
                <w:right w:val="none" w:sz="0" w:space="0" w:color="auto"/>
              </w:divBdr>
              <w:divsChild>
                <w:div w:id="2130469255">
                  <w:marLeft w:val="0"/>
                  <w:marRight w:val="0"/>
                  <w:marTop w:val="0"/>
                  <w:marBottom w:val="0"/>
                  <w:divBdr>
                    <w:top w:val="none" w:sz="0" w:space="0" w:color="auto"/>
                    <w:left w:val="none" w:sz="0" w:space="0" w:color="auto"/>
                    <w:bottom w:val="none" w:sz="0" w:space="0" w:color="auto"/>
                    <w:right w:val="none" w:sz="0" w:space="0" w:color="auto"/>
                  </w:divBdr>
                  <w:divsChild>
                    <w:div w:id="1516964955">
                      <w:marLeft w:val="0"/>
                      <w:marRight w:val="0"/>
                      <w:marTop w:val="0"/>
                      <w:marBottom w:val="0"/>
                      <w:divBdr>
                        <w:top w:val="none" w:sz="0" w:space="0" w:color="auto"/>
                        <w:left w:val="none" w:sz="0" w:space="0" w:color="auto"/>
                        <w:bottom w:val="none" w:sz="0" w:space="0" w:color="auto"/>
                        <w:right w:val="none" w:sz="0" w:space="0" w:color="auto"/>
                      </w:divBdr>
                      <w:divsChild>
                        <w:div w:id="1005939031">
                          <w:marLeft w:val="0"/>
                          <w:marRight w:val="0"/>
                          <w:marTop w:val="0"/>
                          <w:marBottom w:val="0"/>
                          <w:divBdr>
                            <w:top w:val="none" w:sz="0" w:space="0" w:color="auto"/>
                            <w:left w:val="none" w:sz="0" w:space="0" w:color="auto"/>
                            <w:bottom w:val="none" w:sz="0" w:space="0" w:color="auto"/>
                            <w:right w:val="none" w:sz="0" w:space="0" w:color="auto"/>
                          </w:divBdr>
                          <w:divsChild>
                            <w:div w:id="171580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013825">
      <w:bodyDiv w:val="1"/>
      <w:marLeft w:val="0"/>
      <w:marRight w:val="0"/>
      <w:marTop w:val="0"/>
      <w:marBottom w:val="0"/>
      <w:divBdr>
        <w:top w:val="none" w:sz="0" w:space="0" w:color="auto"/>
        <w:left w:val="none" w:sz="0" w:space="0" w:color="auto"/>
        <w:bottom w:val="none" w:sz="0" w:space="0" w:color="auto"/>
        <w:right w:val="none" w:sz="0" w:space="0" w:color="auto"/>
      </w:divBdr>
      <w:divsChild>
        <w:div w:id="247035474">
          <w:marLeft w:val="0"/>
          <w:marRight w:val="0"/>
          <w:marTop w:val="0"/>
          <w:marBottom w:val="0"/>
          <w:divBdr>
            <w:top w:val="none" w:sz="0" w:space="0" w:color="auto"/>
            <w:left w:val="none" w:sz="0" w:space="0" w:color="auto"/>
            <w:bottom w:val="none" w:sz="0" w:space="0" w:color="auto"/>
            <w:right w:val="none" w:sz="0" w:space="0" w:color="auto"/>
          </w:divBdr>
          <w:divsChild>
            <w:div w:id="1144279710">
              <w:marLeft w:val="0"/>
              <w:marRight w:val="0"/>
              <w:marTop w:val="0"/>
              <w:marBottom w:val="0"/>
              <w:divBdr>
                <w:top w:val="none" w:sz="0" w:space="0" w:color="auto"/>
                <w:left w:val="none" w:sz="0" w:space="0" w:color="auto"/>
                <w:bottom w:val="none" w:sz="0" w:space="0" w:color="auto"/>
                <w:right w:val="none" w:sz="0" w:space="0" w:color="auto"/>
              </w:divBdr>
              <w:divsChild>
                <w:div w:id="1619293654">
                  <w:marLeft w:val="0"/>
                  <w:marRight w:val="0"/>
                  <w:marTop w:val="0"/>
                  <w:marBottom w:val="0"/>
                  <w:divBdr>
                    <w:top w:val="none" w:sz="0" w:space="0" w:color="auto"/>
                    <w:left w:val="none" w:sz="0" w:space="0" w:color="auto"/>
                    <w:bottom w:val="none" w:sz="0" w:space="0" w:color="auto"/>
                    <w:right w:val="none" w:sz="0" w:space="0" w:color="auto"/>
                  </w:divBdr>
                  <w:divsChild>
                    <w:div w:id="1624462087">
                      <w:marLeft w:val="0"/>
                      <w:marRight w:val="0"/>
                      <w:marTop w:val="0"/>
                      <w:marBottom w:val="0"/>
                      <w:divBdr>
                        <w:top w:val="none" w:sz="0" w:space="0" w:color="auto"/>
                        <w:left w:val="none" w:sz="0" w:space="0" w:color="auto"/>
                        <w:bottom w:val="none" w:sz="0" w:space="0" w:color="auto"/>
                        <w:right w:val="none" w:sz="0" w:space="0" w:color="auto"/>
                      </w:divBdr>
                      <w:divsChild>
                        <w:div w:id="1656454449">
                          <w:marLeft w:val="0"/>
                          <w:marRight w:val="0"/>
                          <w:marTop w:val="0"/>
                          <w:marBottom w:val="0"/>
                          <w:divBdr>
                            <w:top w:val="none" w:sz="0" w:space="0" w:color="auto"/>
                            <w:left w:val="none" w:sz="0" w:space="0" w:color="auto"/>
                            <w:bottom w:val="none" w:sz="0" w:space="0" w:color="auto"/>
                            <w:right w:val="none" w:sz="0" w:space="0" w:color="auto"/>
                          </w:divBdr>
                          <w:divsChild>
                            <w:div w:id="8646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nsR\AppData\Local\Microsoft\Windows\Temporary%20Internet%20Files\Low\Content.IE5\0SKAODK6\DocGen_Koninklijk_Besluit_(Koning)_nl_NL%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217390-CDE3-4FAE-AF14-346664234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DocGen_Koninklijk_Besluit_(Koning)_nl_NL[1]</Template>
  <TotalTime>1</TotalTime>
  <Pages>6</Pages>
  <Words>2366</Words>
  <Characters>13017</Characters>
  <Application>Microsoft Office Word</Application>
  <DocSecurity>4</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Prins</dc:creator>
  <cp:lastModifiedBy>Weezepoel-Jairam, mw. M.</cp:lastModifiedBy>
  <cp:revision>2</cp:revision>
  <cp:lastPrinted>2014-06-18T06:35:00Z</cp:lastPrinted>
  <dcterms:created xsi:type="dcterms:W3CDTF">2014-06-19T13:51:00Z</dcterms:created>
  <dcterms:modified xsi:type="dcterms:W3CDTF">2014-06-19T13:51:00Z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t:lpwstr>25 juni 2013</vt:lpwstr>
  </property>
  <property fmtid="{D5CDD505-2E9C-101B-9397-08002B2CF9AE}" pid="3" name="Rubricering">
    <vt:lpwstr/>
  </property>
  <property fmtid="{D5CDD505-2E9C-101B-9397-08002B2CF9AE}" pid="4" name="Docgensjabloon">
    <vt:lpwstr>DocGen_Koninklijk Besluit (Koning)_nl_NL</vt:lpwstr>
  </property>
  <property fmtid="{D5CDD505-2E9C-101B-9397-08002B2CF9AE}" pid="5" name="Onderwerp">
    <vt:lpwstr>wijziging van het Besluit begroting en verantwoording provincies en gemeenten</vt:lpwstr>
  </property>
</Properties>
</file>