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4FF" w:rsidRDefault="002F14FF" w:rsidP="00D517C2">
      <w:pPr>
        <w:spacing w:after="0" w:line="240" w:lineRule="auto"/>
        <w:rPr>
          <w:rFonts w:ascii="Verdana" w:hAnsi="Verdana"/>
          <w:b/>
          <w:color w:val="000000"/>
          <w:sz w:val="18"/>
          <w:szCs w:val="18"/>
        </w:rPr>
      </w:pPr>
      <w:bookmarkStart w:id="0" w:name="_GoBack"/>
      <w:bookmarkEnd w:id="0"/>
    </w:p>
    <w:p w:rsidR="002F14FF" w:rsidRDefault="002F14FF" w:rsidP="00D517C2">
      <w:pPr>
        <w:spacing w:after="0" w:line="240" w:lineRule="auto"/>
        <w:rPr>
          <w:rFonts w:ascii="Verdana" w:hAnsi="Verdana"/>
          <w:b/>
          <w:color w:val="000000"/>
          <w:sz w:val="18"/>
          <w:szCs w:val="18"/>
        </w:rPr>
      </w:pPr>
    </w:p>
    <w:p w:rsidR="00227CB1" w:rsidRPr="00FF2B82" w:rsidRDefault="00227CB1" w:rsidP="00D517C2">
      <w:pPr>
        <w:spacing w:after="0" w:line="240" w:lineRule="auto"/>
        <w:rPr>
          <w:rFonts w:ascii="Verdana" w:hAnsi="Verdana"/>
          <w:b/>
          <w:color w:val="000000"/>
          <w:sz w:val="18"/>
          <w:szCs w:val="18"/>
        </w:rPr>
      </w:pPr>
      <w:r w:rsidRPr="00FF2B82">
        <w:rPr>
          <w:rFonts w:ascii="Verdana" w:hAnsi="Verdana"/>
          <w:b/>
          <w:color w:val="000000"/>
          <w:sz w:val="18"/>
          <w:szCs w:val="18"/>
        </w:rPr>
        <w:t>Besluit van … tot wijziging van het Vreemdelingenbesluit 2000 (afschaffing meldplicht EU-burgers)</w:t>
      </w:r>
    </w:p>
    <w:p w:rsidR="00227CB1" w:rsidRDefault="00227CB1" w:rsidP="00D517C2">
      <w:pPr>
        <w:spacing w:after="0" w:line="240" w:lineRule="auto"/>
        <w:rPr>
          <w:rFonts w:ascii="Verdana" w:hAnsi="Verdana"/>
          <w:b/>
          <w:color w:val="000000"/>
          <w:sz w:val="18"/>
          <w:szCs w:val="18"/>
        </w:rPr>
      </w:pPr>
    </w:p>
    <w:p w:rsidR="00D517C2" w:rsidRPr="00FF2B82" w:rsidRDefault="00D517C2" w:rsidP="00D517C2">
      <w:pPr>
        <w:spacing w:after="0" w:line="240" w:lineRule="auto"/>
        <w:rPr>
          <w:rFonts w:ascii="Verdana" w:hAnsi="Verdana"/>
          <w:b/>
          <w:color w:val="000000"/>
          <w:sz w:val="18"/>
          <w:szCs w:val="18"/>
        </w:rPr>
      </w:pP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Wij Willem-Alexander, bij de gratie Gods, Koning der Nederlanden, Prins van Oranje-Nassau, enz. enz. enz.</w:t>
      </w: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 xml:space="preserve">Op de voordracht van de Staatssecretaris van Veiligheid en Justitie </w:t>
      </w:r>
      <w:proofErr w:type="gramStart"/>
      <w:r w:rsidRPr="00FF2B82">
        <w:rPr>
          <w:rFonts w:ascii="Verdana" w:hAnsi="Verdana"/>
          <w:color w:val="000000"/>
          <w:sz w:val="18"/>
          <w:szCs w:val="18"/>
        </w:rPr>
        <w:t xml:space="preserve">van </w:t>
      </w:r>
      <w:r w:rsidR="00067C83">
        <w:rPr>
          <w:rFonts w:ascii="Verdana" w:hAnsi="Verdana"/>
          <w:color w:val="000000"/>
          <w:sz w:val="18"/>
          <w:szCs w:val="18"/>
        </w:rPr>
        <w:t xml:space="preserve">   </w:t>
      </w:r>
      <w:proofErr w:type="gramEnd"/>
      <w:r w:rsidR="00067C83">
        <w:rPr>
          <w:rFonts w:ascii="Verdana" w:hAnsi="Verdana"/>
          <w:color w:val="000000"/>
          <w:sz w:val="18"/>
          <w:szCs w:val="18"/>
        </w:rPr>
        <w:t>april 2014</w:t>
      </w:r>
      <w:r w:rsidRPr="00FF2B82">
        <w:rPr>
          <w:rFonts w:ascii="Verdana" w:hAnsi="Verdana"/>
          <w:color w:val="000000"/>
          <w:sz w:val="18"/>
          <w:szCs w:val="18"/>
        </w:rPr>
        <w:t xml:space="preserve">, nr. </w:t>
      </w:r>
      <w:r w:rsidR="00067C83" w:rsidRPr="00067C83">
        <w:rPr>
          <w:rFonts w:ascii="Verdana" w:hAnsi="Verdana"/>
          <w:color w:val="000000"/>
          <w:sz w:val="18"/>
          <w:szCs w:val="18"/>
        </w:rPr>
        <w:t>509202</w:t>
      </w:r>
      <w:r w:rsidRPr="00FF2B82">
        <w:rPr>
          <w:rFonts w:ascii="Verdana" w:hAnsi="Verdana"/>
          <w:color w:val="000000"/>
          <w:sz w:val="18"/>
          <w:szCs w:val="18"/>
        </w:rPr>
        <w:t>;</w:t>
      </w: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 xml:space="preserve">Gelet op </w:t>
      </w:r>
      <w:r w:rsidR="003424D1">
        <w:rPr>
          <w:rFonts w:ascii="Verdana" w:hAnsi="Verdana"/>
          <w:color w:val="000000"/>
          <w:sz w:val="18"/>
          <w:szCs w:val="18"/>
        </w:rPr>
        <w:t xml:space="preserve">de </w:t>
      </w:r>
      <w:r w:rsidRPr="00FF2B82">
        <w:rPr>
          <w:rFonts w:ascii="Verdana" w:hAnsi="Verdana"/>
          <w:color w:val="000000"/>
          <w:sz w:val="18"/>
          <w:szCs w:val="18"/>
        </w:rPr>
        <w:t>artikel</w:t>
      </w:r>
      <w:r w:rsidR="003424D1">
        <w:rPr>
          <w:rFonts w:ascii="Verdana" w:hAnsi="Verdana"/>
          <w:color w:val="000000"/>
          <w:sz w:val="18"/>
          <w:szCs w:val="18"/>
        </w:rPr>
        <w:t>en</w:t>
      </w:r>
      <w:r w:rsidRPr="00FF2B82">
        <w:rPr>
          <w:rFonts w:ascii="Verdana" w:hAnsi="Verdana"/>
          <w:color w:val="000000"/>
          <w:sz w:val="18"/>
          <w:szCs w:val="18"/>
        </w:rPr>
        <w:t xml:space="preserve"> 54, eerste lid, onder e, </w:t>
      </w:r>
      <w:r w:rsidR="003424D1">
        <w:rPr>
          <w:rFonts w:ascii="Verdana" w:hAnsi="Verdana"/>
          <w:color w:val="000000"/>
          <w:sz w:val="18"/>
          <w:szCs w:val="18"/>
        </w:rPr>
        <w:t xml:space="preserve">en 112 </w:t>
      </w:r>
      <w:r w:rsidRPr="00FF2B82">
        <w:rPr>
          <w:rFonts w:ascii="Verdana" w:hAnsi="Verdana"/>
          <w:color w:val="000000"/>
          <w:sz w:val="18"/>
          <w:szCs w:val="18"/>
        </w:rPr>
        <w:t xml:space="preserve">van de Vreemdelingenwet 2000; </w:t>
      </w: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De Afdeling advisering van de Raad van State gehoord (advies van …, no. …);</w:t>
      </w: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Gezien het nader rapport van de Staatssecretaris van Veiligheid en Justitie van …, nr. …;</w:t>
      </w:r>
    </w:p>
    <w:p w:rsidR="00227CB1" w:rsidRPr="00FF2B82" w:rsidRDefault="00227CB1" w:rsidP="00D517C2">
      <w:pPr>
        <w:spacing w:after="0" w:line="240" w:lineRule="auto"/>
        <w:rPr>
          <w:rFonts w:ascii="Verdana" w:hAnsi="Verdana"/>
          <w:b/>
          <w:color w:val="000000"/>
          <w:sz w:val="18"/>
          <w:szCs w:val="18"/>
        </w:rPr>
      </w:pPr>
    </w:p>
    <w:p w:rsidR="00227CB1" w:rsidRPr="00FF2B82" w:rsidRDefault="00227CB1" w:rsidP="00D517C2">
      <w:pPr>
        <w:spacing w:after="0" w:line="240" w:lineRule="auto"/>
        <w:rPr>
          <w:rFonts w:ascii="Verdana" w:hAnsi="Verdana"/>
          <w:b/>
          <w:color w:val="000000"/>
          <w:sz w:val="18"/>
          <w:szCs w:val="18"/>
        </w:rPr>
      </w:pPr>
    </w:p>
    <w:p w:rsidR="00227CB1" w:rsidRPr="00FF2B82" w:rsidRDefault="00227CB1" w:rsidP="00D517C2">
      <w:pPr>
        <w:spacing w:after="0" w:line="240" w:lineRule="auto"/>
        <w:rPr>
          <w:rFonts w:ascii="Verdana" w:hAnsi="Verdana"/>
          <w:color w:val="000000"/>
          <w:sz w:val="18"/>
          <w:szCs w:val="18"/>
        </w:rPr>
      </w:pPr>
      <w:r w:rsidRPr="00FF2B82">
        <w:rPr>
          <w:rFonts w:ascii="Verdana" w:hAnsi="Verdana"/>
          <w:color w:val="000000"/>
          <w:sz w:val="18"/>
          <w:szCs w:val="18"/>
        </w:rPr>
        <w:t>Hebben goedgevonden en verstaan:</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b/>
          <w:sz w:val="18"/>
          <w:szCs w:val="18"/>
        </w:rPr>
      </w:pPr>
      <w:r w:rsidRPr="00FF2B82">
        <w:rPr>
          <w:rFonts w:ascii="Verdana" w:hAnsi="Verdana"/>
          <w:b/>
          <w:sz w:val="18"/>
          <w:szCs w:val="18"/>
        </w:rPr>
        <w:t>ARTIKEL I</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Het Vreemdelingenbesluit 2000 wordt gewijzigd als volgt:</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A</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Artikel 8.12, vierde lid, komt te luiden:</w:t>
      </w:r>
    </w:p>
    <w:p w:rsidR="00C05643" w:rsidRDefault="00227CB1" w:rsidP="00AB433C">
      <w:pPr>
        <w:spacing w:after="0" w:line="240" w:lineRule="auto"/>
        <w:rPr>
          <w:rFonts w:ascii="Verdana" w:hAnsi="Verdana"/>
          <w:sz w:val="18"/>
          <w:szCs w:val="18"/>
        </w:rPr>
      </w:pPr>
      <w:r w:rsidRPr="00FF2B82">
        <w:rPr>
          <w:rFonts w:ascii="Verdana" w:hAnsi="Verdana"/>
          <w:sz w:val="18"/>
          <w:szCs w:val="18"/>
        </w:rPr>
        <w:t xml:space="preserve">4. De vreemdeling, bedoeld in het eerste lid, </w:t>
      </w:r>
      <w:r w:rsidR="00DF23CF" w:rsidRPr="00FF2B82">
        <w:rPr>
          <w:rFonts w:ascii="Verdana" w:hAnsi="Verdana"/>
          <w:sz w:val="18"/>
          <w:szCs w:val="18"/>
        </w:rPr>
        <w:t xml:space="preserve">kan zich aanmelden bij </w:t>
      </w:r>
      <w:r w:rsidRPr="00FF2B82">
        <w:rPr>
          <w:rFonts w:ascii="Verdana" w:hAnsi="Verdana"/>
          <w:sz w:val="18"/>
          <w:szCs w:val="18"/>
        </w:rPr>
        <w:t xml:space="preserve">Onze Minister ter inschrijving </w:t>
      </w:r>
      <w:proofErr w:type="gramStart"/>
      <w:r w:rsidRPr="00FF2B82">
        <w:rPr>
          <w:rFonts w:ascii="Verdana" w:hAnsi="Verdana"/>
          <w:sz w:val="18"/>
          <w:szCs w:val="18"/>
        </w:rPr>
        <w:t>in</w:t>
      </w:r>
      <w:proofErr w:type="gramEnd"/>
      <w:r w:rsidRPr="00FF2B82">
        <w:rPr>
          <w:rFonts w:ascii="Verdana" w:hAnsi="Verdana"/>
          <w:sz w:val="18"/>
          <w:szCs w:val="18"/>
        </w:rPr>
        <w:t xml:space="preserve"> de vreemdelingenadministratie, ingeval </w:t>
      </w:r>
      <w:r w:rsidR="00DF23CF" w:rsidRPr="00FF2B82">
        <w:rPr>
          <w:rFonts w:ascii="Verdana" w:hAnsi="Verdana"/>
          <w:sz w:val="18"/>
          <w:szCs w:val="18"/>
        </w:rPr>
        <w:t>hij</w:t>
      </w:r>
      <w:r w:rsidR="00C05643">
        <w:rPr>
          <w:rFonts w:ascii="Verdana" w:hAnsi="Verdana"/>
          <w:sz w:val="18"/>
          <w:szCs w:val="18"/>
        </w:rPr>
        <w:t>:</w:t>
      </w:r>
      <w:r w:rsidR="00DF23CF" w:rsidRPr="00FF2B82">
        <w:rPr>
          <w:rFonts w:ascii="Verdana" w:hAnsi="Verdana"/>
          <w:sz w:val="18"/>
          <w:szCs w:val="18"/>
        </w:rPr>
        <w:t xml:space="preserve"> </w:t>
      </w:r>
    </w:p>
    <w:p w:rsidR="00C05643" w:rsidRDefault="00C05643" w:rsidP="00AB433C">
      <w:pPr>
        <w:spacing w:after="0" w:line="240" w:lineRule="auto"/>
        <w:rPr>
          <w:rFonts w:ascii="Verdana" w:hAnsi="Verdana"/>
          <w:sz w:val="18"/>
          <w:szCs w:val="18"/>
        </w:rPr>
      </w:pPr>
      <w:proofErr w:type="gramStart"/>
      <w:r>
        <w:rPr>
          <w:rFonts w:ascii="Verdana" w:hAnsi="Verdana"/>
          <w:sz w:val="18"/>
          <w:szCs w:val="18"/>
        </w:rPr>
        <w:t>a</w:t>
      </w:r>
      <w:proofErr w:type="gramEnd"/>
      <w:r>
        <w:rPr>
          <w:rFonts w:ascii="Verdana" w:hAnsi="Verdana"/>
          <w:sz w:val="18"/>
          <w:szCs w:val="18"/>
        </w:rPr>
        <w:t xml:space="preserve">. </w:t>
      </w:r>
      <w:r w:rsidR="00BD0B81" w:rsidRPr="00FF2B82">
        <w:rPr>
          <w:rFonts w:ascii="Verdana" w:hAnsi="Verdana"/>
          <w:sz w:val="18"/>
          <w:szCs w:val="18"/>
        </w:rPr>
        <w:t xml:space="preserve">langer drie maanden in Nederland heeft verbleven dan wel </w:t>
      </w:r>
      <w:r w:rsidR="00DF23CF" w:rsidRPr="00FF2B82">
        <w:rPr>
          <w:rFonts w:ascii="Verdana" w:hAnsi="Verdana"/>
          <w:sz w:val="18"/>
          <w:szCs w:val="18"/>
        </w:rPr>
        <w:t xml:space="preserve">beoogt </w:t>
      </w:r>
      <w:r w:rsidR="00227CB1" w:rsidRPr="00FF2B82">
        <w:rPr>
          <w:rFonts w:ascii="Verdana" w:hAnsi="Verdana"/>
          <w:sz w:val="18"/>
          <w:szCs w:val="18"/>
        </w:rPr>
        <w:t>langer dan drie maanden in Nederland te verblijven</w:t>
      </w:r>
      <w:r>
        <w:rPr>
          <w:rFonts w:ascii="Verdana" w:hAnsi="Verdana"/>
          <w:sz w:val="18"/>
          <w:szCs w:val="18"/>
        </w:rPr>
        <w:t>,</w:t>
      </w:r>
      <w:r w:rsidR="007919B7" w:rsidRPr="00FF2B82">
        <w:rPr>
          <w:rFonts w:ascii="Verdana" w:hAnsi="Verdana"/>
          <w:sz w:val="18"/>
          <w:szCs w:val="18"/>
        </w:rPr>
        <w:t xml:space="preserve"> </w:t>
      </w:r>
      <w:r>
        <w:rPr>
          <w:rFonts w:ascii="Verdana" w:hAnsi="Verdana"/>
          <w:sz w:val="18"/>
          <w:szCs w:val="18"/>
        </w:rPr>
        <w:t>en</w:t>
      </w:r>
      <w:r w:rsidRPr="00FF2B82">
        <w:rPr>
          <w:rFonts w:ascii="Verdana" w:hAnsi="Verdana"/>
          <w:sz w:val="18"/>
          <w:szCs w:val="18"/>
        </w:rPr>
        <w:t xml:space="preserve"> </w:t>
      </w:r>
    </w:p>
    <w:p w:rsidR="00382038" w:rsidRPr="00FF2B82" w:rsidRDefault="00C05643" w:rsidP="00AB433C">
      <w:pPr>
        <w:spacing w:after="0" w:line="240" w:lineRule="auto"/>
        <w:rPr>
          <w:rFonts w:ascii="Verdana" w:hAnsi="Verdana"/>
          <w:sz w:val="18"/>
          <w:szCs w:val="18"/>
        </w:rPr>
      </w:pPr>
      <w:r>
        <w:rPr>
          <w:rFonts w:ascii="Verdana" w:hAnsi="Verdana"/>
          <w:sz w:val="18"/>
          <w:szCs w:val="18"/>
        </w:rPr>
        <w:t xml:space="preserve">b. </w:t>
      </w:r>
      <w:r w:rsidR="00382038" w:rsidRPr="00FF2B82">
        <w:rPr>
          <w:rFonts w:ascii="Verdana" w:hAnsi="Verdana"/>
          <w:sz w:val="18"/>
          <w:szCs w:val="18"/>
        </w:rPr>
        <w:t>aannemelijk maakt dat hij belang heeft bij een verklaring van inschrijving.</w:t>
      </w:r>
      <w:r w:rsidR="006D5B10" w:rsidRPr="00FF2B82">
        <w:rPr>
          <w:rFonts w:ascii="Verdana" w:hAnsi="Verdana"/>
          <w:sz w:val="18"/>
          <w:szCs w:val="18"/>
        </w:rPr>
        <w:t xml:space="preserve"> </w:t>
      </w:r>
    </w:p>
    <w:p w:rsidR="00382038" w:rsidRPr="00FF2B82" w:rsidRDefault="00382038">
      <w:pPr>
        <w:spacing w:after="0" w:line="240" w:lineRule="auto"/>
        <w:rPr>
          <w:rFonts w:ascii="Verdana" w:hAnsi="Verdana"/>
          <w:sz w:val="18"/>
          <w:szCs w:val="18"/>
        </w:rPr>
      </w:pPr>
    </w:p>
    <w:p w:rsidR="00227CB1" w:rsidRPr="00FF2B82" w:rsidRDefault="00DF23CF">
      <w:pPr>
        <w:spacing w:after="0" w:line="240" w:lineRule="auto"/>
        <w:rPr>
          <w:rFonts w:ascii="Verdana" w:hAnsi="Verdana"/>
          <w:sz w:val="18"/>
          <w:szCs w:val="18"/>
        </w:rPr>
      </w:pPr>
      <w:r w:rsidRPr="00FF2B82">
        <w:rPr>
          <w:rFonts w:ascii="Verdana" w:hAnsi="Verdana"/>
          <w:sz w:val="18"/>
          <w:szCs w:val="18"/>
        </w:rPr>
        <w:t>B</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In artikel 8.22, tweede lid, wordt “bij de afgifte van de verklaring van inschrijving of” vervangen door: uiterlijk drie maanden na de datum van binnenkomst van de betrokkene in Nederland</w:t>
      </w:r>
      <w:r w:rsidR="002756D5" w:rsidRPr="00FF2B82">
        <w:rPr>
          <w:rFonts w:ascii="Verdana" w:hAnsi="Verdana"/>
          <w:sz w:val="18"/>
          <w:szCs w:val="18"/>
        </w:rPr>
        <w:t xml:space="preserve"> </w:t>
      </w:r>
      <w:r w:rsidR="003C360D">
        <w:rPr>
          <w:rFonts w:ascii="Verdana" w:hAnsi="Verdana"/>
          <w:sz w:val="18"/>
          <w:szCs w:val="18"/>
        </w:rPr>
        <w:t xml:space="preserve">dan wel </w:t>
      </w:r>
      <w:r w:rsidR="002756D5" w:rsidRPr="00FF2B82">
        <w:rPr>
          <w:rFonts w:ascii="Verdana" w:hAnsi="Verdana"/>
          <w:sz w:val="18"/>
          <w:szCs w:val="18"/>
        </w:rPr>
        <w:t>bij de afgifte van de verklaring van inschrijving</w:t>
      </w:r>
      <w:r w:rsidRPr="00FF2B82">
        <w:rPr>
          <w:rFonts w:ascii="Verdana" w:hAnsi="Verdana"/>
          <w:sz w:val="18"/>
          <w:szCs w:val="18"/>
        </w:rPr>
        <w:t xml:space="preserve"> of van.</w:t>
      </w:r>
    </w:p>
    <w:p w:rsidR="00227CB1" w:rsidRPr="00FF2B82" w:rsidRDefault="00227CB1">
      <w:pPr>
        <w:spacing w:after="0" w:line="240" w:lineRule="auto"/>
        <w:rPr>
          <w:rFonts w:ascii="Verdana" w:hAnsi="Verdana"/>
          <w:sz w:val="18"/>
          <w:szCs w:val="18"/>
        </w:rPr>
      </w:pPr>
    </w:p>
    <w:p w:rsidR="0061463F" w:rsidRPr="00FF2B82" w:rsidRDefault="0061463F">
      <w:pPr>
        <w:spacing w:after="0" w:line="240" w:lineRule="auto"/>
        <w:rPr>
          <w:rFonts w:ascii="Verdana" w:hAnsi="Verdana"/>
          <w:sz w:val="18"/>
          <w:szCs w:val="18"/>
        </w:rPr>
      </w:pPr>
    </w:p>
    <w:p w:rsidR="00227CB1" w:rsidRPr="00FF2B82" w:rsidRDefault="00227CB1">
      <w:pPr>
        <w:spacing w:after="0" w:line="240" w:lineRule="auto"/>
        <w:rPr>
          <w:rFonts w:ascii="Verdana" w:hAnsi="Verdana"/>
          <w:b/>
          <w:sz w:val="18"/>
          <w:szCs w:val="18"/>
        </w:rPr>
      </w:pPr>
      <w:r w:rsidRPr="00FF2B82">
        <w:rPr>
          <w:rFonts w:ascii="Verdana" w:hAnsi="Verdana"/>
          <w:b/>
          <w:sz w:val="18"/>
          <w:szCs w:val="18"/>
        </w:rPr>
        <w:t>ARTIKEL II</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 xml:space="preserve">Dit besluit treedt in werking met ingang van de eerste dag na de datum van uitgifte van het Staatsblad waarin dit besluit wordt geplaatst en werkt terug tot en met </w:t>
      </w:r>
      <w:r w:rsidR="00D2218A" w:rsidRPr="00FF2B82">
        <w:rPr>
          <w:rFonts w:ascii="Verdana" w:hAnsi="Verdana"/>
          <w:sz w:val="18"/>
          <w:szCs w:val="18"/>
        </w:rPr>
        <w:t>6 januari 2014</w:t>
      </w:r>
      <w:r w:rsidRPr="00FF2B82">
        <w:rPr>
          <w:rFonts w:ascii="Verdana" w:hAnsi="Verdana"/>
          <w:sz w:val="18"/>
          <w:szCs w:val="18"/>
        </w:rPr>
        <w:t>.</w:t>
      </w: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p>
    <w:p w:rsidR="00227CB1" w:rsidRPr="00FF2B82" w:rsidRDefault="00227CB1">
      <w:pPr>
        <w:spacing w:line="240" w:lineRule="atLeast"/>
        <w:rPr>
          <w:rFonts w:ascii="Verdana" w:hAnsi="Verdana"/>
          <w:color w:val="000000"/>
          <w:sz w:val="18"/>
          <w:szCs w:val="18"/>
        </w:rPr>
      </w:pPr>
      <w:r w:rsidRPr="00FF2B82">
        <w:rPr>
          <w:rFonts w:ascii="Verdana" w:hAnsi="Verdana"/>
          <w:color w:val="000000"/>
          <w:sz w:val="18"/>
          <w:szCs w:val="18"/>
        </w:rPr>
        <w:t>Lasten en bevelen dat dit besluit met de daarbij behorende nota van toelichting in het Staatsblad zal worden geplaatst.</w:t>
      </w:r>
    </w:p>
    <w:p w:rsidR="00227CB1" w:rsidRPr="00FF2B82" w:rsidRDefault="00227CB1">
      <w:pPr>
        <w:spacing w:after="0" w:line="240" w:lineRule="auto"/>
        <w:rPr>
          <w:rFonts w:ascii="Verdana" w:hAnsi="Verdana"/>
          <w:sz w:val="18"/>
          <w:szCs w:val="18"/>
        </w:rPr>
      </w:pPr>
    </w:p>
    <w:p w:rsidR="00227CB1" w:rsidRDefault="00227CB1">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Default="00597F85">
      <w:pPr>
        <w:spacing w:after="0" w:line="240" w:lineRule="auto"/>
        <w:rPr>
          <w:rFonts w:ascii="Verdana" w:hAnsi="Verdana"/>
          <w:sz w:val="18"/>
          <w:szCs w:val="18"/>
        </w:rPr>
      </w:pPr>
    </w:p>
    <w:p w:rsidR="00597F85" w:rsidRPr="00FF2B82" w:rsidRDefault="00597F85">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De Staatssecretaris van Veiligheid en Justitie,</w:t>
      </w:r>
    </w:p>
    <w:p w:rsidR="00227CB1" w:rsidRPr="00FF2B82" w:rsidRDefault="00227CB1">
      <w:pPr>
        <w:rPr>
          <w:rFonts w:ascii="Verdana" w:hAnsi="Verdana"/>
          <w:sz w:val="18"/>
          <w:szCs w:val="18"/>
        </w:rPr>
      </w:pPr>
      <w:r w:rsidRPr="00FF2B82">
        <w:rPr>
          <w:rFonts w:ascii="Verdana" w:hAnsi="Verdana"/>
          <w:sz w:val="18"/>
          <w:szCs w:val="18"/>
        </w:rPr>
        <w:br w:type="page"/>
      </w:r>
    </w:p>
    <w:p w:rsidR="00D517C2" w:rsidRDefault="00D517C2">
      <w:pPr>
        <w:spacing w:after="0" w:line="240" w:lineRule="auto"/>
        <w:rPr>
          <w:rFonts w:ascii="Verdana" w:hAnsi="Verdana"/>
          <w:b/>
          <w:sz w:val="18"/>
          <w:szCs w:val="18"/>
        </w:rPr>
      </w:pPr>
    </w:p>
    <w:p w:rsidR="00227CB1" w:rsidRPr="00FF2B82" w:rsidRDefault="00227CB1">
      <w:pPr>
        <w:spacing w:after="0" w:line="240" w:lineRule="auto"/>
        <w:rPr>
          <w:rFonts w:ascii="Verdana" w:hAnsi="Verdana"/>
          <w:b/>
          <w:sz w:val="18"/>
          <w:szCs w:val="18"/>
        </w:rPr>
      </w:pPr>
      <w:r w:rsidRPr="00FF2B82">
        <w:rPr>
          <w:rFonts w:ascii="Verdana" w:hAnsi="Verdana"/>
          <w:b/>
          <w:sz w:val="18"/>
          <w:szCs w:val="18"/>
        </w:rPr>
        <w:t>NOTA VAN TOELICHTING</w:t>
      </w:r>
    </w:p>
    <w:p w:rsidR="00227CB1" w:rsidRPr="00FF2B82" w:rsidRDefault="00227CB1">
      <w:pPr>
        <w:spacing w:after="0" w:line="240" w:lineRule="auto"/>
        <w:rPr>
          <w:rFonts w:ascii="Verdana" w:hAnsi="Verdana"/>
          <w:sz w:val="18"/>
          <w:szCs w:val="18"/>
        </w:rPr>
      </w:pPr>
    </w:p>
    <w:p w:rsidR="002756D5" w:rsidRPr="00FF2B82" w:rsidRDefault="002756D5">
      <w:pPr>
        <w:spacing w:after="0" w:line="240" w:lineRule="auto"/>
        <w:rPr>
          <w:rFonts w:ascii="Verdana" w:hAnsi="Verdana"/>
          <w:b/>
          <w:sz w:val="18"/>
          <w:szCs w:val="18"/>
        </w:rPr>
      </w:pPr>
      <w:r w:rsidRPr="00FF2B82">
        <w:rPr>
          <w:rFonts w:ascii="Verdana" w:hAnsi="Verdana"/>
          <w:b/>
          <w:sz w:val="18"/>
          <w:szCs w:val="18"/>
        </w:rPr>
        <w:t>ALGEMEEN DEEL</w:t>
      </w:r>
    </w:p>
    <w:p w:rsidR="00F35DF5" w:rsidRPr="00FF2B82" w:rsidRDefault="00F35DF5">
      <w:pPr>
        <w:spacing w:after="0" w:line="240" w:lineRule="auto"/>
        <w:rPr>
          <w:rFonts w:ascii="Verdana" w:hAnsi="Verdana"/>
          <w:sz w:val="18"/>
          <w:szCs w:val="18"/>
        </w:rPr>
      </w:pPr>
    </w:p>
    <w:p w:rsidR="00227CB1" w:rsidRPr="00FF2B82" w:rsidRDefault="00227CB1">
      <w:pPr>
        <w:spacing w:after="0" w:line="240" w:lineRule="auto"/>
        <w:rPr>
          <w:rFonts w:ascii="Verdana" w:hAnsi="Verdana"/>
          <w:sz w:val="18"/>
          <w:szCs w:val="18"/>
        </w:rPr>
      </w:pPr>
      <w:r w:rsidRPr="00FF2B82">
        <w:rPr>
          <w:rFonts w:ascii="Verdana" w:hAnsi="Verdana"/>
          <w:sz w:val="18"/>
          <w:szCs w:val="18"/>
        </w:rPr>
        <w:t xml:space="preserve">Met dit besluit is de verplichting voor EU-burgers geschrapt om zich aan te melden ter inschrijving in de IND-vreemdelingenadministratie bij verblijf van meer dan drie maanden. Aldus </w:t>
      </w:r>
      <w:r w:rsidR="009C0111" w:rsidRPr="00FF2B82">
        <w:rPr>
          <w:rFonts w:ascii="Verdana" w:hAnsi="Verdana"/>
          <w:sz w:val="18"/>
          <w:szCs w:val="18"/>
        </w:rPr>
        <w:t xml:space="preserve">wordt </w:t>
      </w:r>
      <w:r w:rsidRPr="00FF2B82">
        <w:rPr>
          <w:rFonts w:ascii="Verdana" w:hAnsi="Verdana"/>
          <w:sz w:val="18"/>
          <w:szCs w:val="18"/>
        </w:rPr>
        <w:t>een doublure in meldplichten</w:t>
      </w:r>
      <w:r w:rsidR="009C0111" w:rsidRPr="00FF2B82">
        <w:rPr>
          <w:rFonts w:ascii="Verdana" w:hAnsi="Verdana"/>
          <w:sz w:val="18"/>
          <w:szCs w:val="18"/>
        </w:rPr>
        <w:t xml:space="preserve"> weggenomen</w:t>
      </w:r>
      <w:r w:rsidRPr="00FF2B82">
        <w:rPr>
          <w:rFonts w:ascii="Verdana" w:hAnsi="Verdana"/>
          <w:sz w:val="18"/>
          <w:szCs w:val="18"/>
        </w:rPr>
        <w:t xml:space="preserve">: wie een half jaar </w:t>
      </w:r>
      <w:proofErr w:type="gramStart"/>
      <w:r w:rsidRPr="00FF2B82">
        <w:rPr>
          <w:rFonts w:ascii="Verdana" w:hAnsi="Verdana"/>
          <w:sz w:val="18"/>
          <w:szCs w:val="18"/>
        </w:rPr>
        <w:t>ten minste</w:t>
      </w:r>
      <w:proofErr w:type="gramEnd"/>
      <w:r w:rsidRPr="00FF2B82">
        <w:rPr>
          <w:rFonts w:ascii="Verdana" w:hAnsi="Verdana"/>
          <w:sz w:val="18"/>
          <w:szCs w:val="18"/>
        </w:rPr>
        <w:t xml:space="preserve"> twee derde van de tijd in Nederland verblijf houdt, moet zich namelijk al melden bij de gemeente om aangifte te doen van verblijf en adres.</w:t>
      </w:r>
      <w:r w:rsidRPr="00FF2B82">
        <w:rPr>
          <w:rStyle w:val="Voetnootmarkering"/>
          <w:rFonts w:ascii="Verdana" w:hAnsi="Verdana"/>
          <w:sz w:val="18"/>
          <w:szCs w:val="18"/>
        </w:rPr>
        <w:footnoteReference w:id="1"/>
      </w:r>
      <w:r w:rsidRPr="00FF2B82">
        <w:rPr>
          <w:rFonts w:ascii="Verdana" w:hAnsi="Verdana"/>
          <w:sz w:val="18"/>
          <w:szCs w:val="18"/>
        </w:rPr>
        <w:t xml:space="preserve"> Die verplichting geldt ook voor EU-burgers. Het is dus niet zo dat er geen registratie van EU-burgers meer plaatsvindt, maar dat er een andere registratie plaatsvindt die meer toevoegde waarde heeft voor EU-burgers en de overheid.</w:t>
      </w:r>
    </w:p>
    <w:p w:rsidR="00227CB1" w:rsidRPr="00FF2B82" w:rsidRDefault="00227CB1">
      <w:pPr>
        <w:spacing w:after="0" w:line="240" w:lineRule="auto"/>
        <w:rPr>
          <w:rFonts w:ascii="Verdana" w:hAnsi="Verdana" w:cs="Calibri"/>
          <w:color w:val="000000"/>
          <w:sz w:val="18"/>
          <w:szCs w:val="18"/>
        </w:rPr>
      </w:pPr>
    </w:p>
    <w:p w:rsidR="00227CB1" w:rsidRPr="00FF2B82" w:rsidRDefault="00227CB1" w:rsidP="00BA6116">
      <w:pPr>
        <w:pStyle w:val="Lijstalinea"/>
        <w:numPr>
          <w:ilvl w:val="0"/>
          <w:numId w:val="1"/>
        </w:numPr>
        <w:spacing w:after="0" w:line="240" w:lineRule="auto"/>
        <w:rPr>
          <w:rFonts w:ascii="Verdana" w:hAnsi="Verdana" w:cs="Calibri"/>
          <w:b/>
          <w:color w:val="000000"/>
          <w:sz w:val="18"/>
          <w:szCs w:val="18"/>
        </w:rPr>
      </w:pPr>
      <w:r w:rsidRPr="00FF2B82">
        <w:rPr>
          <w:rFonts w:ascii="Verdana" w:hAnsi="Verdana" w:cs="Calibri"/>
          <w:b/>
          <w:color w:val="000000"/>
          <w:sz w:val="18"/>
          <w:szCs w:val="18"/>
        </w:rPr>
        <w:t>Gebrekkige toegevoegde waarde van meldplicht</w:t>
      </w:r>
    </w:p>
    <w:p w:rsidR="00227CB1" w:rsidRPr="00FF2B82" w:rsidRDefault="00227CB1">
      <w:pPr>
        <w:autoSpaceDE w:val="0"/>
        <w:autoSpaceDN w:val="0"/>
        <w:adjustRightInd w:val="0"/>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De meldplicht voor EU-burgers bij de IND heeft een gebrekkige toegevoegde waarde omdat het verblijfsrecht niet afhankelijk is van administratieve formaliteiten. Het verblijfsrecht van EU-burgers is </w:t>
      </w:r>
      <w:proofErr w:type="gramStart"/>
      <w:r w:rsidRPr="00FF2B82">
        <w:rPr>
          <w:rFonts w:ascii="Verdana" w:hAnsi="Verdana" w:cs="Calibri"/>
          <w:color w:val="000000"/>
          <w:sz w:val="18"/>
          <w:szCs w:val="18"/>
        </w:rPr>
        <w:t>blijkens</w:t>
      </w:r>
      <w:proofErr w:type="gramEnd"/>
      <w:r w:rsidRPr="00FF2B82">
        <w:rPr>
          <w:rFonts w:ascii="Verdana" w:hAnsi="Verdana" w:cs="Calibri"/>
          <w:color w:val="000000"/>
          <w:sz w:val="18"/>
          <w:szCs w:val="18"/>
        </w:rPr>
        <w:t xml:space="preserve"> </w:t>
      </w:r>
      <w:r w:rsidR="009C0111" w:rsidRPr="00FF2B82">
        <w:rPr>
          <w:rFonts w:ascii="Verdana" w:hAnsi="Verdana" w:cs="Calibri"/>
          <w:color w:val="000000"/>
          <w:sz w:val="18"/>
          <w:szCs w:val="18"/>
        </w:rPr>
        <w:t>overweging 11 en artikelen 6 en 7 en volgende van de richtlijn vrij verkeer van EU-burgers</w:t>
      </w:r>
      <w:r w:rsidR="009C0111" w:rsidRPr="00FF2B82">
        <w:rPr>
          <w:rStyle w:val="Voetnootmarkering"/>
          <w:rFonts w:ascii="Verdana" w:hAnsi="Verdana"/>
          <w:color w:val="000000"/>
          <w:sz w:val="18"/>
          <w:szCs w:val="18"/>
        </w:rPr>
        <w:footnoteReference w:id="2"/>
      </w:r>
      <w:r w:rsidRPr="00FF2B82">
        <w:rPr>
          <w:rFonts w:ascii="Verdana" w:hAnsi="Verdana" w:cs="Calibri"/>
          <w:color w:val="000000"/>
          <w:sz w:val="18"/>
          <w:szCs w:val="18"/>
        </w:rPr>
        <w:t xml:space="preserve"> </w:t>
      </w:r>
      <w:r w:rsidR="00314114" w:rsidRPr="00FF2B82">
        <w:rPr>
          <w:rFonts w:ascii="Verdana" w:hAnsi="Verdana" w:cs="Calibri"/>
          <w:color w:val="000000"/>
          <w:sz w:val="18"/>
          <w:szCs w:val="18"/>
        </w:rPr>
        <w:t xml:space="preserve">declaratoir </w:t>
      </w:r>
      <w:r w:rsidRPr="00FF2B82">
        <w:rPr>
          <w:rFonts w:ascii="Verdana" w:hAnsi="Verdana" w:cs="Calibri"/>
          <w:color w:val="000000"/>
          <w:sz w:val="18"/>
          <w:szCs w:val="18"/>
        </w:rPr>
        <w:t>maar niet onvoorwaardelijk.</w:t>
      </w:r>
      <w:r w:rsidR="009C0111" w:rsidRPr="00FF2B82">
        <w:rPr>
          <w:rFonts w:ascii="Verdana" w:hAnsi="Verdana" w:cs="Calibri"/>
          <w:color w:val="000000"/>
          <w:sz w:val="18"/>
          <w:szCs w:val="18"/>
        </w:rPr>
        <w:t xml:space="preserve"> Het declaratoire karakter is bevestigd in vaste jurisprudentie.</w:t>
      </w:r>
      <w:r w:rsidRPr="00FF2B82">
        <w:rPr>
          <w:rStyle w:val="Voetnootmarkering"/>
          <w:rFonts w:ascii="Verdana" w:hAnsi="Verdana"/>
          <w:color w:val="000000"/>
          <w:sz w:val="18"/>
          <w:szCs w:val="18"/>
        </w:rPr>
        <w:footnoteReference w:id="3"/>
      </w:r>
      <w:r w:rsidRPr="00FF2B82">
        <w:rPr>
          <w:rFonts w:ascii="Verdana" w:hAnsi="Verdana" w:cs="Calibri"/>
          <w:color w:val="000000"/>
          <w:sz w:val="18"/>
          <w:szCs w:val="18"/>
        </w:rPr>
        <w:t xml:space="preserve"> Het verblijfsrecht kan dus ook bestaan zonder dat aan de meldplicht is voldaan. </w:t>
      </w:r>
    </w:p>
    <w:p w:rsidR="00227CB1" w:rsidRPr="00FF2B82" w:rsidRDefault="00227CB1">
      <w:pPr>
        <w:autoSpaceDE w:val="0"/>
        <w:autoSpaceDN w:val="0"/>
        <w:adjustRightInd w:val="0"/>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De meldplicht was bedoeld om het verblijfsrecht te toetsen. Omdat sprake was van een momentopname, leidde dit in sommige gevallen zelfs tot schijnzekerheid over de rechtmatigheid van het verblijf. Registratie impliceert dat een </w:t>
      </w:r>
      <w:proofErr w:type="spellStart"/>
      <w:r w:rsidRPr="00FF2B82">
        <w:rPr>
          <w:rFonts w:ascii="Verdana" w:hAnsi="Verdana" w:cs="Calibri"/>
          <w:color w:val="000000"/>
          <w:sz w:val="18"/>
          <w:szCs w:val="18"/>
        </w:rPr>
        <w:t>voortbestaande</w:t>
      </w:r>
      <w:proofErr w:type="spellEnd"/>
      <w:r w:rsidRPr="00FF2B82">
        <w:rPr>
          <w:rFonts w:ascii="Verdana" w:hAnsi="Verdana" w:cs="Calibri"/>
          <w:color w:val="000000"/>
          <w:sz w:val="18"/>
          <w:szCs w:val="18"/>
        </w:rPr>
        <w:t xml:space="preserve"> situatie wordt vastgelegd. </w:t>
      </w:r>
      <w:r w:rsidR="00DC3997" w:rsidRPr="00FF2B82">
        <w:rPr>
          <w:rFonts w:ascii="Verdana" w:hAnsi="Verdana" w:cs="Calibri"/>
          <w:color w:val="000000"/>
          <w:sz w:val="18"/>
          <w:szCs w:val="18"/>
        </w:rPr>
        <w:t xml:space="preserve">Omdat echter sprake is van </w:t>
      </w:r>
      <w:r w:rsidRPr="00FF2B82">
        <w:rPr>
          <w:rFonts w:ascii="Verdana" w:hAnsi="Verdana" w:cs="Calibri"/>
          <w:color w:val="000000"/>
          <w:sz w:val="18"/>
          <w:szCs w:val="18"/>
        </w:rPr>
        <w:t xml:space="preserve">een momentopname, kan </w:t>
      </w:r>
      <w:r w:rsidR="00DC3997" w:rsidRPr="00FF2B82">
        <w:rPr>
          <w:rFonts w:ascii="Verdana" w:hAnsi="Verdana" w:cs="Calibri"/>
          <w:color w:val="000000"/>
          <w:sz w:val="18"/>
          <w:szCs w:val="18"/>
        </w:rPr>
        <w:t xml:space="preserve">het toetsen en eventueel bevestigen van het rechtmatig verblijf door de IND </w:t>
      </w:r>
      <w:r w:rsidRPr="00FF2B82">
        <w:rPr>
          <w:rFonts w:ascii="Verdana" w:hAnsi="Verdana" w:cs="Calibri"/>
          <w:color w:val="000000"/>
          <w:sz w:val="18"/>
          <w:szCs w:val="18"/>
        </w:rPr>
        <w:t>schijnzekerheid over de rechtmatigheid van het verblijf oproepen bij bevoegde instanties, waardoor zij in een later stadium mogelijk onterecht een EU-burger als rechthebbende op een bepaalde voorziening beschouwen. Immers, zodra de betrokkene niet meer voldoet aan de voorwaarden van de richtlijn vrij verkeer, is de registratie niet meer in overeenstemming met het verblijfsrecht.</w:t>
      </w:r>
    </w:p>
    <w:p w:rsidR="00227CB1" w:rsidRPr="00FF2B82" w:rsidRDefault="00227CB1">
      <w:pPr>
        <w:spacing w:after="0" w:line="240" w:lineRule="auto"/>
        <w:rPr>
          <w:rFonts w:ascii="Verdana" w:hAnsi="Verdana" w:cs="Calibri"/>
          <w:color w:val="000000"/>
          <w:sz w:val="18"/>
          <w:szCs w:val="18"/>
        </w:rPr>
      </w:pPr>
    </w:p>
    <w:p w:rsidR="00227CB1" w:rsidRPr="00FF2B82" w:rsidRDefault="00227CB1" w:rsidP="00BA6116">
      <w:pPr>
        <w:pStyle w:val="Lijstalinea"/>
        <w:numPr>
          <w:ilvl w:val="0"/>
          <w:numId w:val="1"/>
        </w:numPr>
        <w:spacing w:after="0" w:line="240" w:lineRule="auto"/>
        <w:rPr>
          <w:rFonts w:ascii="Verdana" w:hAnsi="Verdana" w:cs="Calibri"/>
          <w:b/>
          <w:color w:val="000000"/>
          <w:sz w:val="18"/>
          <w:szCs w:val="18"/>
        </w:rPr>
      </w:pPr>
      <w:r w:rsidRPr="00FF2B82">
        <w:rPr>
          <w:rFonts w:ascii="Verdana" w:hAnsi="Verdana" w:cs="Calibri"/>
          <w:b/>
          <w:color w:val="000000"/>
          <w:sz w:val="18"/>
          <w:szCs w:val="18"/>
        </w:rPr>
        <w:t>Meer registratiemogelijkheden van EU-burgers in de basisregistratie personen (BRP)</w:t>
      </w:r>
    </w:p>
    <w:p w:rsidR="00227CB1" w:rsidRPr="00FF2B82" w:rsidRDefault="00227CB1">
      <w:pPr>
        <w:spacing w:after="0" w:line="240" w:lineRule="auto"/>
        <w:rPr>
          <w:rFonts w:ascii="Verdana" w:hAnsi="Verdana" w:cs="Calibri"/>
          <w:color w:val="000000"/>
          <w:sz w:val="18"/>
          <w:szCs w:val="18"/>
        </w:rPr>
      </w:pPr>
      <w:r w:rsidRPr="00FF2B82">
        <w:rPr>
          <w:rFonts w:ascii="Verdana" w:hAnsi="Verdana" w:cs="Calibri"/>
          <w:color w:val="000000"/>
          <w:sz w:val="18"/>
          <w:szCs w:val="18"/>
        </w:rPr>
        <w:t>Het moment van de afschaffing van de meldplicht bij de IND is gekoppeld aan de invoering van de nieuwe Wet basisregistratie personen (</w:t>
      </w:r>
      <w:proofErr w:type="spellStart"/>
      <w:r w:rsidRPr="00FF2B82">
        <w:rPr>
          <w:rFonts w:ascii="Verdana" w:hAnsi="Verdana" w:cs="Calibri"/>
          <w:color w:val="000000"/>
          <w:sz w:val="18"/>
          <w:szCs w:val="18"/>
        </w:rPr>
        <w:t>Wbrp</w:t>
      </w:r>
      <w:proofErr w:type="spellEnd"/>
      <w:r w:rsidRPr="00FF2B82">
        <w:rPr>
          <w:rFonts w:ascii="Verdana" w:hAnsi="Verdana" w:cs="Calibri"/>
          <w:color w:val="000000"/>
          <w:sz w:val="18"/>
          <w:szCs w:val="18"/>
        </w:rPr>
        <w:t>), die de Wet gemeentelijke basisadministratie persoonsgegevens (Wet GBA) vervangt.</w:t>
      </w:r>
      <w:r w:rsidRPr="00FF2B82">
        <w:rPr>
          <w:rStyle w:val="Voetnootmarkering"/>
          <w:rFonts w:ascii="Verdana" w:hAnsi="Verdana"/>
          <w:sz w:val="18"/>
          <w:szCs w:val="18"/>
        </w:rPr>
        <w:footnoteReference w:id="4"/>
      </w:r>
      <w:r w:rsidRPr="00FF2B82">
        <w:rPr>
          <w:rFonts w:ascii="Verdana" w:hAnsi="Verdana" w:cs="Calibri"/>
          <w:color w:val="000000"/>
          <w:sz w:val="18"/>
          <w:szCs w:val="18"/>
        </w:rPr>
        <w:t xml:space="preserve"> Op grond van de </w:t>
      </w:r>
      <w:proofErr w:type="spellStart"/>
      <w:r w:rsidRPr="00FF2B82">
        <w:rPr>
          <w:rFonts w:ascii="Verdana" w:hAnsi="Verdana" w:cs="Calibri"/>
          <w:color w:val="000000"/>
          <w:sz w:val="18"/>
          <w:szCs w:val="18"/>
        </w:rPr>
        <w:t>Wbrp</w:t>
      </w:r>
      <w:proofErr w:type="spellEnd"/>
      <w:r w:rsidRPr="00FF2B82">
        <w:rPr>
          <w:rFonts w:ascii="Verdana" w:hAnsi="Verdana" w:cs="Calibri"/>
          <w:color w:val="000000"/>
          <w:sz w:val="18"/>
          <w:szCs w:val="18"/>
        </w:rPr>
        <w:t xml:space="preserve"> ontstaan meer mogelijkheden voor registratie van EU-burgers. De verplichting uit de Wet GBA om aangifte van verblijf en adres te doen met het oog op inschrijving als ingezetene in de GBA is in de </w:t>
      </w:r>
      <w:proofErr w:type="spellStart"/>
      <w:r w:rsidRPr="00FF2B82">
        <w:rPr>
          <w:rFonts w:ascii="Verdana" w:hAnsi="Verdana" w:cs="Calibri"/>
          <w:color w:val="000000"/>
          <w:sz w:val="18"/>
          <w:szCs w:val="18"/>
        </w:rPr>
        <w:t>Wbrp</w:t>
      </w:r>
      <w:proofErr w:type="spellEnd"/>
      <w:r w:rsidRPr="00FF2B82">
        <w:rPr>
          <w:rFonts w:ascii="Verdana" w:hAnsi="Verdana" w:cs="Calibri"/>
          <w:color w:val="000000"/>
          <w:sz w:val="18"/>
          <w:szCs w:val="18"/>
        </w:rPr>
        <w:t xml:space="preserve"> niet alleen gehandhaafd, maar kan</w:t>
      </w:r>
      <w:r w:rsidR="00914D47" w:rsidRPr="00FF2B82">
        <w:rPr>
          <w:rFonts w:ascii="Verdana" w:hAnsi="Verdana" w:cs="Calibri"/>
          <w:color w:val="000000"/>
          <w:sz w:val="18"/>
          <w:szCs w:val="18"/>
        </w:rPr>
        <w:t>, indien de betrokken persoon deze verplichting niet nakomt,</w:t>
      </w:r>
      <w:r w:rsidR="00DC3997" w:rsidRPr="00FF2B82">
        <w:rPr>
          <w:rFonts w:ascii="Verdana" w:hAnsi="Verdana" w:cs="Calibri"/>
          <w:color w:val="000000"/>
          <w:sz w:val="18"/>
          <w:szCs w:val="18"/>
        </w:rPr>
        <w:t xml:space="preserve"> </w:t>
      </w:r>
      <w:r w:rsidRPr="00FF2B82">
        <w:rPr>
          <w:rFonts w:ascii="Verdana" w:hAnsi="Verdana" w:cs="Calibri"/>
          <w:color w:val="000000"/>
          <w:sz w:val="18"/>
          <w:szCs w:val="18"/>
        </w:rPr>
        <w:t xml:space="preserve">onder deze nieuwe wet nu ook worden gesanctioneerd met een door het college van burgemeester en wethouders op te leggen bestuurlijke boete. </w:t>
      </w:r>
    </w:p>
    <w:p w:rsidR="00227CB1" w:rsidRPr="00FF2B82" w:rsidRDefault="00227CB1">
      <w:pPr>
        <w:spacing w:after="0" w:line="240" w:lineRule="auto"/>
        <w:rPr>
          <w:rFonts w:ascii="Verdana" w:hAnsi="Verdana"/>
          <w:sz w:val="18"/>
          <w:szCs w:val="18"/>
        </w:rPr>
      </w:pPr>
      <w:r w:rsidRPr="00FF2B82">
        <w:rPr>
          <w:rFonts w:ascii="Verdana" w:hAnsi="Verdana" w:cs="Calibri"/>
          <w:color w:val="000000"/>
          <w:sz w:val="18"/>
          <w:szCs w:val="18"/>
        </w:rPr>
        <w:t xml:space="preserve">Daarnaast kan onder de nieuwe wet een EU-burger die </w:t>
      </w:r>
      <w:r w:rsidRPr="00FF2B82">
        <w:rPr>
          <w:rFonts w:ascii="Verdana" w:hAnsi="Verdana"/>
          <w:sz w:val="18"/>
          <w:szCs w:val="18"/>
        </w:rPr>
        <w:t xml:space="preserve">géén aangifte van verblijf en adres hoeft te doen (omdat hij niet van plan is langer dan de genoemde termijn in Nederland te verblijven), </w:t>
      </w:r>
      <w:r w:rsidR="009C0111" w:rsidRPr="00FF2B82">
        <w:rPr>
          <w:rFonts w:ascii="Verdana" w:hAnsi="Verdana"/>
          <w:sz w:val="18"/>
          <w:szCs w:val="18"/>
        </w:rPr>
        <w:t xml:space="preserve">toch worden ingeschreven </w:t>
      </w:r>
      <w:r w:rsidRPr="00FF2B82">
        <w:rPr>
          <w:rFonts w:ascii="Verdana" w:hAnsi="Verdana"/>
          <w:sz w:val="18"/>
          <w:szCs w:val="18"/>
        </w:rPr>
        <w:t>als niet-ingezetene</w:t>
      </w:r>
      <w:r w:rsidR="002F1125">
        <w:rPr>
          <w:rFonts w:ascii="Verdana" w:hAnsi="Verdana"/>
          <w:sz w:val="18"/>
          <w:szCs w:val="18"/>
        </w:rPr>
        <w:t xml:space="preserve"> in de BRP</w:t>
      </w:r>
      <w:r w:rsidRPr="00FF2B82">
        <w:rPr>
          <w:rFonts w:ascii="Verdana" w:hAnsi="Verdana"/>
          <w:sz w:val="18"/>
          <w:szCs w:val="18"/>
        </w:rPr>
        <w:t xml:space="preserve">. Deze inschrijving kan plaatsvinden op verzoek van betrokkene zelf, die zich daartoe kan wenden tot een van de gemeenten waar een zogenaamde inschrijfvoorziening voor niet-ingezetenen is gevestigd. Het is echter ook mogelijk dat een EU-burger als niet-ingezetene in de </w:t>
      </w:r>
      <w:r w:rsidR="009C0111" w:rsidRPr="00FF2B82">
        <w:rPr>
          <w:rFonts w:ascii="Verdana" w:hAnsi="Verdana"/>
          <w:sz w:val="18"/>
          <w:szCs w:val="18"/>
        </w:rPr>
        <w:t xml:space="preserve">basisregistratie personen </w:t>
      </w:r>
      <w:r w:rsidRPr="00FF2B82">
        <w:rPr>
          <w:rFonts w:ascii="Verdana" w:hAnsi="Verdana"/>
          <w:sz w:val="18"/>
          <w:szCs w:val="18"/>
        </w:rPr>
        <w:t xml:space="preserve">wordt ingeschreven op verzoek van een in het Besluit basisregistratie personen (Besluit BRP) aangewezen bestuursorgaan dat met de betrokken persoon een rechtsverhouding krijgt (zoals de Belastingdienst, de Sociale Verzekeringsbank of het Uitvoeringsinstituut Werknemersverzekeringen). Hierdoor </w:t>
      </w:r>
      <w:r w:rsidRPr="00FF2B82">
        <w:rPr>
          <w:rFonts w:ascii="Verdana" w:hAnsi="Verdana" w:cs="Calibri"/>
          <w:color w:val="000000"/>
          <w:sz w:val="18"/>
          <w:szCs w:val="18"/>
        </w:rPr>
        <w:t xml:space="preserve">zijn er meer effectieve manieren om een betere registratie van EU-burgers te realiseren, dan </w:t>
      </w:r>
      <w:r w:rsidR="00914D47" w:rsidRPr="00FF2B82">
        <w:rPr>
          <w:rFonts w:ascii="Verdana" w:hAnsi="Verdana" w:cs="Calibri"/>
          <w:color w:val="000000"/>
          <w:sz w:val="18"/>
          <w:szCs w:val="18"/>
        </w:rPr>
        <w:t xml:space="preserve">door </w:t>
      </w:r>
      <w:r w:rsidRPr="00FF2B82">
        <w:rPr>
          <w:rFonts w:ascii="Verdana" w:hAnsi="Verdana" w:cs="Calibri"/>
          <w:color w:val="000000"/>
          <w:sz w:val="18"/>
          <w:szCs w:val="18"/>
        </w:rPr>
        <w:t xml:space="preserve">de meldplicht bij de IND. </w:t>
      </w:r>
    </w:p>
    <w:p w:rsidR="00F35DF5" w:rsidRPr="00FF2B82" w:rsidRDefault="00F35DF5">
      <w:pPr>
        <w:spacing w:after="0" w:line="240" w:lineRule="auto"/>
        <w:rPr>
          <w:rFonts w:ascii="Verdana" w:hAnsi="Verdana" w:cs="Calibri"/>
          <w:color w:val="000000"/>
          <w:sz w:val="18"/>
          <w:szCs w:val="18"/>
        </w:rPr>
      </w:pPr>
    </w:p>
    <w:p w:rsidR="00227CB1" w:rsidRPr="00FF2B82" w:rsidRDefault="00227CB1" w:rsidP="00BA6116">
      <w:pPr>
        <w:pStyle w:val="Lijstalinea"/>
        <w:numPr>
          <w:ilvl w:val="0"/>
          <w:numId w:val="1"/>
        </w:numPr>
        <w:spacing w:after="0" w:line="240" w:lineRule="auto"/>
        <w:rPr>
          <w:rFonts w:ascii="Verdana" w:hAnsi="Verdana" w:cs="Calibri"/>
          <w:b/>
          <w:color w:val="000000"/>
          <w:sz w:val="18"/>
          <w:szCs w:val="18"/>
        </w:rPr>
      </w:pPr>
      <w:r w:rsidRPr="00FF2B82">
        <w:rPr>
          <w:rFonts w:ascii="Verdana" w:hAnsi="Verdana" w:cs="Calibri"/>
          <w:b/>
          <w:color w:val="000000"/>
          <w:sz w:val="18"/>
          <w:szCs w:val="18"/>
        </w:rPr>
        <w:t>Toetsing van het verblijfsrecht in specifieke situaties</w:t>
      </w:r>
    </w:p>
    <w:p w:rsidR="00227CB1" w:rsidRPr="00FF2B82" w:rsidRDefault="007729B5">
      <w:pPr>
        <w:spacing w:after="0" w:line="240" w:lineRule="auto"/>
        <w:rPr>
          <w:rFonts w:ascii="Verdana" w:hAnsi="Verdana"/>
          <w:sz w:val="18"/>
          <w:szCs w:val="18"/>
        </w:rPr>
      </w:pPr>
      <w:r w:rsidRPr="00FF2B82">
        <w:rPr>
          <w:rFonts w:ascii="Verdana" w:hAnsi="Verdana"/>
          <w:sz w:val="18"/>
          <w:szCs w:val="18"/>
        </w:rPr>
        <w:t xml:space="preserve">Het afschaffen van de meldplicht bij de IND laat de huidige bevoegdheid van de IND om het verblijfsrecht in voorkomende gevallen te toetsen onverlet. </w:t>
      </w:r>
      <w:r w:rsidR="00227CB1" w:rsidRPr="00FF2B82">
        <w:rPr>
          <w:rFonts w:ascii="Verdana" w:hAnsi="Verdana" w:cs="Calibri"/>
          <w:color w:val="000000"/>
          <w:sz w:val="18"/>
          <w:szCs w:val="18"/>
        </w:rPr>
        <w:t xml:space="preserve">Van de inschrijving van een EU-burger in de BRP, hetzij als ingezetene, hetzij als niet-ingezetene, krijgt de IND automatisch bericht (op grond van artikel 107 Vreemdelingenwet 2000). De IND blijft het verblijfsrecht van EU-burgers toetsen in specifieke situaties naar aanleiding van signalen van betrokken instanties. </w:t>
      </w:r>
      <w:r w:rsidR="00227CB1" w:rsidRPr="00FF2B82">
        <w:rPr>
          <w:rFonts w:ascii="Verdana" w:hAnsi="Verdana"/>
          <w:sz w:val="18"/>
          <w:szCs w:val="18"/>
        </w:rPr>
        <w:t>De EU-</w:t>
      </w:r>
      <w:r w:rsidR="00227CB1" w:rsidRPr="00FF2B82">
        <w:rPr>
          <w:rFonts w:ascii="Verdana" w:hAnsi="Verdana"/>
          <w:sz w:val="18"/>
          <w:szCs w:val="18"/>
        </w:rPr>
        <w:lastRenderedPageBreak/>
        <w:t>burgers van wie het verblijfsrecht kan worden getoetst omdat er indicaties zijn dat ze niet voldoen aan de voorwaarden van de richtlijn, komen</w:t>
      </w:r>
      <w:r w:rsidR="00914D47" w:rsidRPr="00FF2B82">
        <w:rPr>
          <w:rFonts w:ascii="Verdana" w:hAnsi="Verdana"/>
          <w:sz w:val="18"/>
          <w:szCs w:val="18"/>
        </w:rPr>
        <w:t xml:space="preserve"> dus</w:t>
      </w:r>
      <w:r w:rsidR="00227CB1" w:rsidRPr="00FF2B82">
        <w:rPr>
          <w:rFonts w:ascii="Verdana" w:hAnsi="Verdana"/>
          <w:sz w:val="18"/>
          <w:szCs w:val="18"/>
        </w:rPr>
        <w:t xml:space="preserve"> op een andere manier </w:t>
      </w:r>
      <w:r w:rsidR="002F1125">
        <w:rPr>
          <w:rFonts w:ascii="Verdana" w:hAnsi="Verdana"/>
          <w:sz w:val="18"/>
          <w:szCs w:val="18"/>
        </w:rPr>
        <w:t xml:space="preserve">in beeld </w:t>
      </w:r>
      <w:r w:rsidR="00227CB1" w:rsidRPr="00FF2B82">
        <w:rPr>
          <w:rFonts w:ascii="Verdana" w:hAnsi="Verdana"/>
          <w:sz w:val="18"/>
          <w:szCs w:val="18"/>
        </w:rPr>
        <w:t>dan via de meldplicht bij de IND. De IND voert bijvoorbeeld een toetsing uit bij een melding van de Gemeentelijke Sociale Dienst indien redelijke twijfel bestaat of een EU-burger die bijstand aanvraagt, voldoet aan de voorwaarden van de richtlijn vrij verkeer</w:t>
      </w:r>
      <w:r w:rsidR="00227CB1" w:rsidRPr="00FF2B82">
        <w:rPr>
          <w:rFonts w:ascii="Verdana" w:hAnsi="Verdana" w:cs="Calibri"/>
          <w:color w:val="000000"/>
          <w:sz w:val="18"/>
          <w:szCs w:val="18"/>
        </w:rPr>
        <w:t xml:space="preserve">. Andere indicaties die kunnen leiden tot een toets of aan de voorwaarden wordt voldaan zijn crimineel gedrag, overlast, of indien er sprake is van </w:t>
      </w:r>
      <w:r w:rsidR="009C0111" w:rsidRPr="00FF2B82">
        <w:rPr>
          <w:rFonts w:ascii="Verdana" w:hAnsi="Verdana" w:cs="Calibri"/>
          <w:color w:val="000000"/>
          <w:sz w:val="18"/>
          <w:szCs w:val="18"/>
        </w:rPr>
        <w:t>schijnrelaties</w:t>
      </w:r>
      <w:r w:rsidR="00227CB1" w:rsidRPr="00FF2B82">
        <w:rPr>
          <w:rFonts w:ascii="Verdana" w:hAnsi="Verdana" w:cs="Calibri"/>
          <w:color w:val="000000"/>
          <w:sz w:val="18"/>
          <w:szCs w:val="18"/>
        </w:rPr>
        <w:t>. Die toetsing kan dus op elk passend moment plaatsvinden</w:t>
      </w:r>
      <w:r w:rsidR="005A4078" w:rsidRPr="00FF2B82">
        <w:rPr>
          <w:rFonts w:ascii="Verdana" w:hAnsi="Verdana" w:cs="Calibri"/>
          <w:color w:val="000000"/>
          <w:sz w:val="18"/>
          <w:szCs w:val="18"/>
        </w:rPr>
        <w:t xml:space="preserve">, maar wordt meer dan thans het geval is, </w:t>
      </w:r>
      <w:proofErr w:type="spellStart"/>
      <w:r w:rsidR="005A4078" w:rsidRPr="00FF2B82">
        <w:rPr>
          <w:rFonts w:ascii="Verdana" w:hAnsi="Verdana" w:cs="Calibri"/>
          <w:color w:val="000000"/>
          <w:sz w:val="18"/>
          <w:szCs w:val="18"/>
        </w:rPr>
        <w:t>informatiegestuurd</w:t>
      </w:r>
      <w:proofErr w:type="spellEnd"/>
      <w:r w:rsidR="00227CB1" w:rsidRPr="00FF2B82">
        <w:rPr>
          <w:rFonts w:ascii="Verdana" w:hAnsi="Verdana" w:cs="Calibri"/>
          <w:color w:val="000000"/>
          <w:sz w:val="18"/>
          <w:szCs w:val="18"/>
        </w:rPr>
        <w:t xml:space="preserve">. Dat is gunstiger </w:t>
      </w:r>
      <w:r w:rsidR="005A4078" w:rsidRPr="00FF2B82">
        <w:rPr>
          <w:rFonts w:ascii="Verdana" w:hAnsi="Verdana" w:cs="Calibri"/>
          <w:color w:val="000000"/>
          <w:sz w:val="18"/>
          <w:szCs w:val="18"/>
        </w:rPr>
        <w:t>en effici</w:t>
      </w:r>
      <w:r w:rsidR="00314114" w:rsidRPr="00FF2B82">
        <w:rPr>
          <w:rFonts w:ascii="Verdana" w:hAnsi="Verdana" w:cs="Calibri"/>
          <w:color w:val="000000"/>
          <w:sz w:val="18"/>
          <w:szCs w:val="18"/>
        </w:rPr>
        <w:t>ë</w:t>
      </w:r>
      <w:r w:rsidR="005A4078" w:rsidRPr="00FF2B82">
        <w:rPr>
          <w:rFonts w:ascii="Verdana" w:hAnsi="Verdana" w:cs="Calibri"/>
          <w:color w:val="000000"/>
          <w:sz w:val="18"/>
          <w:szCs w:val="18"/>
        </w:rPr>
        <w:t xml:space="preserve">nter </w:t>
      </w:r>
      <w:r w:rsidR="00227CB1" w:rsidRPr="00FF2B82">
        <w:rPr>
          <w:rFonts w:ascii="Verdana" w:hAnsi="Verdana" w:cs="Calibri"/>
          <w:color w:val="000000"/>
          <w:sz w:val="18"/>
          <w:szCs w:val="18"/>
        </w:rPr>
        <w:t>dan toetsing in d</w:t>
      </w:r>
      <w:r w:rsidR="00227CB1" w:rsidRPr="00FF2B82">
        <w:rPr>
          <w:rFonts w:ascii="Verdana" w:hAnsi="Verdana"/>
          <w:sz w:val="18"/>
          <w:szCs w:val="18"/>
        </w:rPr>
        <w:t>e vierde verblijfsmaand</w:t>
      </w:r>
      <w:r w:rsidR="00604CAD" w:rsidRPr="00FF2B82">
        <w:rPr>
          <w:rFonts w:ascii="Verdana" w:hAnsi="Verdana"/>
          <w:sz w:val="18"/>
          <w:szCs w:val="18"/>
        </w:rPr>
        <w:t xml:space="preserve"> (voorheen het moment van de aanmeldplicht) </w:t>
      </w:r>
      <w:r w:rsidR="00227CB1" w:rsidRPr="00FF2B82">
        <w:rPr>
          <w:rFonts w:ascii="Verdana" w:hAnsi="Verdana"/>
          <w:sz w:val="18"/>
          <w:szCs w:val="18"/>
        </w:rPr>
        <w:t>want uit ervaring blijkt</w:t>
      </w:r>
      <w:r w:rsidR="00BC4C5A" w:rsidRPr="00FF2B82">
        <w:rPr>
          <w:rFonts w:ascii="Verdana" w:hAnsi="Verdana"/>
          <w:sz w:val="18"/>
          <w:szCs w:val="18"/>
        </w:rPr>
        <w:t xml:space="preserve"> </w:t>
      </w:r>
      <w:r w:rsidR="00227CB1" w:rsidRPr="00FF2B82">
        <w:rPr>
          <w:rFonts w:ascii="Verdana" w:hAnsi="Verdana"/>
          <w:sz w:val="18"/>
          <w:szCs w:val="18"/>
        </w:rPr>
        <w:t xml:space="preserve">dat dit niet het meest voorkomende moment is van een onredelijk beroep op de bijstand of een gevaar voor de openbare orde. </w:t>
      </w:r>
    </w:p>
    <w:p w:rsidR="00227CB1" w:rsidRPr="00FF2B82" w:rsidRDefault="00227CB1">
      <w:pPr>
        <w:spacing w:after="0" w:line="240" w:lineRule="auto"/>
        <w:rPr>
          <w:rFonts w:ascii="Verdana" w:hAnsi="Verdana" w:cs="Arial"/>
          <w:sz w:val="18"/>
          <w:szCs w:val="18"/>
        </w:rPr>
      </w:pPr>
    </w:p>
    <w:p w:rsidR="00227CB1" w:rsidRPr="00FF2B82" w:rsidRDefault="00227CB1" w:rsidP="00BA6116">
      <w:pPr>
        <w:pStyle w:val="Lijstalinea"/>
        <w:numPr>
          <w:ilvl w:val="0"/>
          <w:numId w:val="1"/>
        </w:numPr>
        <w:spacing w:after="0" w:line="240" w:lineRule="auto"/>
        <w:rPr>
          <w:rFonts w:ascii="Verdana" w:hAnsi="Verdana" w:cs="Arial"/>
          <w:b/>
          <w:sz w:val="18"/>
          <w:szCs w:val="18"/>
        </w:rPr>
      </w:pPr>
      <w:r w:rsidRPr="00FF2B82">
        <w:rPr>
          <w:rFonts w:ascii="Verdana" w:hAnsi="Verdana" w:cs="Arial"/>
          <w:b/>
          <w:sz w:val="18"/>
          <w:szCs w:val="18"/>
        </w:rPr>
        <w:t xml:space="preserve">Meldplicht voor </w:t>
      </w:r>
      <w:proofErr w:type="spellStart"/>
      <w:r w:rsidRPr="00FF2B82">
        <w:rPr>
          <w:rFonts w:ascii="Verdana" w:hAnsi="Verdana" w:cs="Arial"/>
          <w:b/>
          <w:sz w:val="18"/>
          <w:szCs w:val="18"/>
        </w:rPr>
        <w:t>derdelands</w:t>
      </w:r>
      <w:proofErr w:type="spellEnd"/>
      <w:r w:rsidRPr="00FF2B82">
        <w:rPr>
          <w:rFonts w:ascii="Verdana" w:hAnsi="Verdana" w:cs="Arial"/>
          <w:b/>
          <w:sz w:val="18"/>
          <w:szCs w:val="18"/>
        </w:rPr>
        <w:t xml:space="preserve"> gezinsleden blijft</w:t>
      </w:r>
      <w:r w:rsidR="00201D1D" w:rsidRPr="00FF2B82">
        <w:rPr>
          <w:rFonts w:ascii="Verdana" w:hAnsi="Verdana" w:cs="Arial"/>
          <w:b/>
          <w:sz w:val="18"/>
          <w:szCs w:val="18"/>
        </w:rPr>
        <w:t xml:space="preserve"> (artikel 8.13, tweede </w:t>
      </w:r>
      <w:r w:rsidR="00FA2BB1" w:rsidRPr="00FF2B82">
        <w:rPr>
          <w:rFonts w:ascii="Verdana" w:hAnsi="Verdana" w:cs="Arial"/>
          <w:b/>
          <w:sz w:val="18"/>
          <w:szCs w:val="18"/>
        </w:rPr>
        <w:t xml:space="preserve">en derde </w:t>
      </w:r>
      <w:r w:rsidR="00201D1D" w:rsidRPr="00FF2B82">
        <w:rPr>
          <w:rFonts w:ascii="Verdana" w:hAnsi="Verdana" w:cs="Arial"/>
          <w:b/>
          <w:sz w:val="18"/>
          <w:szCs w:val="18"/>
        </w:rPr>
        <w:t>lid</w:t>
      </w:r>
      <w:r w:rsidR="00FA2BB1" w:rsidRPr="00FF2B82">
        <w:rPr>
          <w:rFonts w:ascii="Verdana" w:hAnsi="Verdana" w:cs="Arial"/>
          <w:b/>
          <w:sz w:val="18"/>
          <w:szCs w:val="18"/>
        </w:rPr>
        <w:t>)</w:t>
      </w:r>
    </w:p>
    <w:p w:rsidR="009962C0" w:rsidRPr="00FF2B82" w:rsidRDefault="00227CB1">
      <w:pPr>
        <w:spacing w:after="0" w:line="240" w:lineRule="auto"/>
        <w:rPr>
          <w:rFonts w:ascii="Verdana" w:hAnsi="Verdana" w:cs="Calibri"/>
          <w:color w:val="000000"/>
          <w:sz w:val="18"/>
          <w:szCs w:val="18"/>
        </w:rPr>
      </w:pPr>
      <w:r w:rsidRPr="00FF2B82">
        <w:rPr>
          <w:rFonts w:ascii="Verdana" w:hAnsi="Verdana" w:cs="Arial"/>
          <w:sz w:val="18"/>
          <w:szCs w:val="18"/>
        </w:rPr>
        <w:t xml:space="preserve">Het afschaffen van de meldplicht heeft overigens geen gevolgen voor </w:t>
      </w:r>
      <w:proofErr w:type="spellStart"/>
      <w:r w:rsidRPr="00FF2B82">
        <w:rPr>
          <w:rFonts w:ascii="Verdana" w:hAnsi="Verdana" w:cs="Arial"/>
          <w:sz w:val="18"/>
          <w:szCs w:val="18"/>
        </w:rPr>
        <w:t>derdelands</w:t>
      </w:r>
      <w:proofErr w:type="spellEnd"/>
      <w:r w:rsidRPr="00FF2B82">
        <w:rPr>
          <w:rFonts w:ascii="Verdana" w:hAnsi="Verdana" w:cs="Arial"/>
          <w:sz w:val="18"/>
          <w:szCs w:val="18"/>
        </w:rPr>
        <w:t xml:space="preserve"> gezinsleden van EU-burgers. Op grond van artikel 9 van de richtlijn vrij verkeer (omgezet in artikel 8.13, tweede lid, Vreemdelingenbesluit 2000) blijven zij verplicht om zich aan te melden bij de IND om een verblijfskaart aan te vragen. </w:t>
      </w:r>
      <w:r w:rsidR="00FA2BB1" w:rsidRPr="00FF2B82">
        <w:rPr>
          <w:rFonts w:ascii="Verdana" w:hAnsi="Verdana" w:cs="Calibri"/>
          <w:color w:val="000000"/>
          <w:sz w:val="18"/>
          <w:szCs w:val="18"/>
        </w:rPr>
        <w:t xml:space="preserve">Daarbij moet het </w:t>
      </w:r>
      <w:proofErr w:type="spellStart"/>
      <w:r w:rsidR="00FA2BB1" w:rsidRPr="00FF2B82">
        <w:rPr>
          <w:rFonts w:ascii="Verdana" w:hAnsi="Verdana" w:cs="Calibri"/>
          <w:color w:val="000000"/>
          <w:sz w:val="18"/>
          <w:szCs w:val="18"/>
        </w:rPr>
        <w:t>derdelands</w:t>
      </w:r>
      <w:proofErr w:type="spellEnd"/>
      <w:r w:rsidR="00FA2BB1" w:rsidRPr="00FF2B82">
        <w:rPr>
          <w:rFonts w:ascii="Verdana" w:hAnsi="Verdana" w:cs="Calibri"/>
          <w:color w:val="000000"/>
          <w:sz w:val="18"/>
          <w:szCs w:val="18"/>
        </w:rPr>
        <w:t xml:space="preserve"> gezinslid </w:t>
      </w:r>
      <w:r w:rsidR="00DF23CF" w:rsidRPr="00FF2B82">
        <w:rPr>
          <w:rFonts w:ascii="Verdana" w:hAnsi="Verdana" w:cs="Calibri"/>
          <w:color w:val="000000"/>
          <w:sz w:val="18"/>
          <w:szCs w:val="18"/>
        </w:rPr>
        <w:t>een verklaring van inschrijving van de hoofdpersoon blijven overleggen.</w:t>
      </w:r>
      <w:r w:rsidR="00DF23CF" w:rsidRPr="00FF2B82" w:rsidDel="00DF23CF">
        <w:rPr>
          <w:rFonts w:ascii="Verdana" w:hAnsi="Verdana" w:cs="Calibri"/>
          <w:color w:val="000000"/>
          <w:sz w:val="18"/>
          <w:szCs w:val="18"/>
        </w:rPr>
        <w:t xml:space="preserve"> </w:t>
      </w:r>
      <w:r w:rsidR="00604CAD" w:rsidRPr="00FF2B82">
        <w:rPr>
          <w:rFonts w:ascii="Verdana" w:hAnsi="Verdana" w:cs="Calibri"/>
          <w:color w:val="000000"/>
          <w:sz w:val="18"/>
          <w:szCs w:val="18"/>
        </w:rPr>
        <w:t xml:space="preserve">Ongewenst is namelijk dat afschaffing van de meldplicht ertoe leidt dat </w:t>
      </w:r>
      <w:proofErr w:type="spellStart"/>
      <w:r w:rsidR="00604CAD" w:rsidRPr="00FF2B82">
        <w:rPr>
          <w:rFonts w:ascii="Verdana" w:hAnsi="Verdana" w:cs="Calibri"/>
          <w:color w:val="000000"/>
          <w:sz w:val="18"/>
          <w:szCs w:val="18"/>
        </w:rPr>
        <w:t>derdelands</w:t>
      </w:r>
      <w:proofErr w:type="spellEnd"/>
      <w:r w:rsidR="00604CAD" w:rsidRPr="00FF2B82">
        <w:rPr>
          <w:rFonts w:ascii="Verdana" w:hAnsi="Verdana" w:cs="Calibri"/>
          <w:color w:val="000000"/>
          <w:sz w:val="18"/>
          <w:szCs w:val="18"/>
        </w:rPr>
        <w:t xml:space="preserve"> gezinsleden van EU-burgers in Nederland kunnen verblijven zonder dat </w:t>
      </w:r>
      <w:r w:rsidR="00314114" w:rsidRPr="00FF2B82">
        <w:rPr>
          <w:rFonts w:ascii="Verdana" w:hAnsi="Verdana" w:cs="Calibri"/>
          <w:color w:val="000000"/>
          <w:sz w:val="18"/>
          <w:szCs w:val="18"/>
        </w:rPr>
        <w:t xml:space="preserve">er een indicatie </w:t>
      </w:r>
      <w:r w:rsidR="00604CAD" w:rsidRPr="00FF2B82">
        <w:rPr>
          <w:rFonts w:ascii="Verdana" w:hAnsi="Verdana" w:cs="Calibri"/>
          <w:color w:val="000000"/>
          <w:sz w:val="18"/>
          <w:szCs w:val="18"/>
        </w:rPr>
        <w:t>is of de EU-burger</w:t>
      </w:r>
      <w:r w:rsidR="00B809B2" w:rsidRPr="00FF2B82">
        <w:rPr>
          <w:rFonts w:ascii="Verdana" w:hAnsi="Verdana" w:cs="Calibri"/>
          <w:color w:val="000000"/>
          <w:sz w:val="18"/>
          <w:szCs w:val="18"/>
        </w:rPr>
        <w:t xml:space="preserve"> bij wie zij verblijven,</w:t>
      </w:r>
      <w:r w:rsidR="00604CAD" w:rsidRPr="00FF2B82">
        <w:rPr>
          <w:rFonts w:ascii="Verdana" w:hAnsi="Verdana" w:cs="Calibri"/>
          <w:color w:val="000000"/>
          <w:sz w:val="18"/>
          <w:szCs w:val="18"/>
        </w:rPr>
        <w:t xml:space="preserve"> rechtmatig verblijf</w:t>
      </w:r>
      <w:r w:rsidR="00B809B2" w:rsidRPr="00FF2B82">
        <w:rPr>
          <w:rFonts w:ascii="Verdana" w:hAnsi="Verdana" w:cs="Calibri"/>
          <w:color w:val="000000"/>
          <w:sz w:val="18"/>
          <w:szCs w:val="18"/>
        </w:rPr>
        <w:t xml:space="preserve"> ontleent aan de richtlijn </w:t>
      </w:r>
      <w:r w:rsidR="00314114" w:rsidRPr="00FF2B82">
        <w:rPr>
          <w:rFonts w:ascii="Verdana" w:hAnsi="Verdana" w:cs="Calibri"/>
          <w:color w:val="000000"/>
          <w:sz w:val="18"/>
          <w:szCs w:val="18"/>
        </w:rPr>
        <w:t>vrij verkeer</w:t>
      </w:r>
      <w:r w:rsidR="00B809B2" w:rsidRPr="00FF2B82">
        <w:rPr>
          <w:rFonts w:ascii="Verdana" w:hAnsi="Verdana" w:cs="Calibri"/>
          <w:color w:val="000000"/>
          <w:sz w:val="18"/>
          <w:szCs w:val="18"/>
        </w:rPr>
        <w:t>.</w:t>
      </w:r>
      <w:r w:rsidR="00604CAD" w:rsidRPr="00FF2B82">
        <w:rPr>
          <w:rFonts w:ascii="Verdana" w:hAnsi="Verdana" w:cs="Calibri"/>
          <w:color w:val="000000"/>
          <w:sz w:val="18"/>
          <w:szCs w:val="18"/>
        </w:rPr>
        <w:t xml:space="preserve"> </w:t>
      </w:r>
      <w:r w:rsidR="00B809B2" w:rsidRPr="00FF2B82">
        <w:rPr>
          <w:rFonts w:ascii="Verdana" w:hAnsi="Verdana" w:cs="Calibri"/>
          <w:color w:val="000000"/>
          <w:sz w:val="18"/>
          <w:szCs w:val="18"/>
        </w:rPr>
        <w:t>D</w:t>
      </w:r>
      <w:r w:rsidR="00604CAD" w:rsidRPr="00FF2B82">
        <w:rPr>
          <w:rFonts w:ascii="Verdana" w:hAnsi="Verdana" w:cs="Calibri"/>
          <w:color w:val="000000"/>
          <w:sz w:val="18"/>
          <w:szCs w:val="18"/>
        </w:rPr>
        <w:t xml:space="preserve">at </w:t>
      </w:r>
      <w:r w:rsidR="00B809B2" w:rsidRPr="00FF2B82">
        <w:rPr>
          <w:rFonts w:ascii="Verdana" w:hAnsi="Verdana" w:cs="Calibri"/>
          <w:color w:val="000000"/>
          <w:sz w:val="18"/>
          <w:szCs w:val="18"/>
        </w:rPr>
        <w:t xml:space="preserve">betreft </w:t>
      </w:r>
      <w:proofErr w:type="gramStart"/>
      <w:r w:rsidR="00604CAD" w:rsidRPr="00FF2B82">
        <w:rPr>
          <w:rFonts w:ascii="Verdana" w:hAnsi="Verdana" w:cs="Calibri"/>
          <w:color w:val="000000"/>
          <w:sz w:val="18"/>
          <w:szCs w:val="18"/>
        </w:rPr>
        <w:t>met name</w:t>
      </w:r>
      <w:proofErr w:type="gramEnd"/>
      <w:r w:rsidR="00604CAD" w:rsidRPr="00FF2B82">
        <w:rPr>
          <w:rFonts w:ascii="Verdana" w:hAnsi="Verdana" w:cs="Calibri"/>
          <w:color w:val="000000"/>
          <w:sz w:val="18"/>
          <w:szCs w:val="18"/>
        </w:rPr>
        <w:t xml:space="preserve"> een toets </w:t>
      </w:r>
      <w:r w:rsidR="00314114" w:rsidRPr="00FF2B82">
        <w:rPr>
          <w:rFonts w:ascii="Verdana" w:hAnsi="Verdana" w:cs="Calibri"/>
          <w:color w:val="000000"/>
          <w:sz w:val="18"/>
          <w:szCs w:val="18"/>
        </w:rPr>
        <w:t xml:space="preserve">of de EU-burger werknemer, zelfstandige, student of economisch niet-actieve EU-burger met </w:t>
      </w:r>
      <w:r w:rsidR="00604CAD" w:rsidRPr="00FF2B82">
        <w:rPr>
          <w:rFonts w:ascii="Verdana" w:hAnsi="Verdana" w:cs="Calibri"/>
          <w:color w:val="000000"/>
          <w:sz w:val="18"/>
          <w:szCs w:val="18"/>
        </w:rPr>
        <w:t>middelen van bestaan</w:t>
      </w:r>
      <w:r w:rsidR="00314114" w:rsidRPr="00FF2B82">
        <w:rPr>
          <w:rFonts w:ascii="Verdana" w:hAnsi="Verdana" w:cs="Calibri"/>
          <w:color w:val="000000"/>
          <w:sz w:val="18"/>
          <w:szCs w:val="18"/>
        </w:rPr>
        <w:t xml:space="preserve"> is</w:t>
      </w:r>
      <w:r w:rsidR="00604CAD" w:rsidRPr="00FF2B82">
        <w:rPr>
          <w:rFonts w:ascii="Verdana" w:hAnsi="Verdana" w:cs="Calibri"/>
          <w:color w:val="000000"/>
          <w:sz w:val="18"/>
          <w:szCs w:val="18"/>
        </w:rPr>
        <w:t xml:space="preserve">. </w:t>
      </w:r>
      <w:r w:rsidR="00B809B2" w:rsidRPr="00FF2B82">
        <w:rPr>
          <w:rFonts w:ascii="Verdana" w:hAnsi="Verdana" w:cs="Calibri"/>
          <w:color w:val="000000"/>
          <w:sz w:val="18"/>
          <w:szCs w:val="18"/>
        </w:rPr>
        <w:t>Immers, het rechtmatig verblijf van de EU burger is een voorwaarde voor het ontstaan van een verblijfsaanspraak v</w:t>
      </w:r>
      <w:r w:rsidR="00653B51" w:rsidRPr="00FF2B82">
        <w:rPr>
          <w:rFonts w:ascii="Verdana" w:hAnsi="Verdana" w:cs="Calibri"/>
          <w:color w:val="000000"/>
          <w:sz w:val="18"/>
          <w:szCs w:val="18"/>
        </w:rPr>
        <w:t>a</w:t>
      </w:r>
      <w:r w:rsidR="00B809B2" w:rsidRPr="00FF2B82">
        <w:rPr>
          <w:rFonts w:ascii="Verdana" w:hAnsi="Verdana" w:cs="Calibri"/>
          <w:color w:val="000000"/>
          <w:sz w:val="18"/>
          <w:szCs w:val="18"/>
        </w:rPr>
        <w:t>n de derdelander</w:t>
      </w:r>
      <w:r w:rsidR="00314114" w:rsidRPr="00FF2B82">
        <w:rPr>
          <w:rFonts w:ascii="Verdana" w:hAnsi="Verdana" w:cs="Calibri"/>
          <w:color w:val="000000"/>
          <w:sz w:val="18"/>
          <w:szCs w:val="18"/>
        </w:rPr>
        <w:t xml:space="preserve"> (volgens artikel 7, tweede lid, laatste zinsnede, van de richtlijn)</w:t>
      </w:r>
      <w:r w:rsidR="00B809B2" w:rsidRPr="00FF2B82">
        <w:rPr>
          <w:rFonts w:ascii="Verdana" w:hAnsi="Verdana" w:cs="Calibri"/>
          <w:color w:val="000000"/>
          <w:sz w:val="18"/>
          <w:szCs w:val="18"/>
        </w:rPr>
        <w:t xml:space="preserve">. </w:t>
      </w:r>
      <w:r w:rsidR="00604CAD" w:rsidRPr="00FF2B82">
        <w:rPr>
          <w:rFonts w:ascii="Verdana" w:hAnsi="Verdana" w:cs="Calibri"/>
          <w:color w:val="000000"/>
          <w:sz w:val="18"/>
          <w:szCs w:val="18"/>
        </w:rPr>
        <w:t xml:space="preserve">Dit systeem is verenigbaar met de richtlijn vrij verkeer: daarin is immers bepaald dat lidstaten die een inschrijvingssysteem met verklaring van inschrijving kennen, van derdelanders een ‘verklaring van inschrijving’ kunnen verlangen (artikel 10, tweede lid, onder c). Aangezien het aanvragen van een verklaring van inschrijving mogelijk blijft, is het inschrijvingssysteem </w:t>
      </w:r>
      <w:r w:rsidR="00F35DF5" w:rsidRPr="00FF2B82">
        <w:rPr>
          <w:rFonts w:ascii="Verdana" w:hAnsi="Verdana" w:cs="Calibri"/>
          <w:color w:val="000000"/>
          <w:sz w:val="18"/>
          <w:szCs w:val="18"/>
        </w:rPr>
        <w:t xml:space="preserve">voor EU-burgers </w:t>
      </w:r>
      <w:r w:rsidR="00604CAD" w:rsidRPr="00FF2B82">
        <w:rPr>
          <w:rFonts w:ascii="Verdana" w:hAnsi="Verdana" w:cs="Calibri"/>
          <w:color w:val="000000"/>
          <w:sz w:val="18"/>
          <w:szCs w:val="18"/>
        </w:rPr>
        <w:t xml:space="preserve">niet afgeschaft en kan een verklaring van inschrijving worden verlangd van </w:t>
      </w:r>
      <w:proofErr w:type="spellStart"/>
      <w:r w:rsidR="00604CAD" w:rsidRPr="00FF2B82">
        <w:rPr>
          <w:rFonts w:ascii="Verdana" w:hAnsi="Verdana" w:cs="Calibri"/>
          <w:color w:val="000000"/>
          <w:sz w:val="18"/>
          <w:szCs w:val="18"/>
        </w:rPr>
        <w:t>derdelands</w:t>
      </w:r>
      <w:proofErr w:type="spellEnd"/>
      <w:r w:rsidR="00604CAD" w:rsidRPr="00FF2B82">
        <w:rPr>
          <w:rFonts w:ascii="Verdana" w:hAnsi="Verdana" w:cs="Calibri"/>
          <w:color w:val="000000"/>
          <w:sz w:val="18"/>
          <w:szCs w:val="18"/>
        </w:rPr>
        <w:t xml:space="preserve"> gezinsleden van EU-burgers.</w:t>
      </w:r>
    </w:p>
    <w:p w:rsidR="00DF23CF" w:rsidRPr="00FF2B82" w:rsidRDefault="00DF23CF">
      <w:pPr>
        <w:spacing w:after="0" w:line="240" w:lineRule="auto"/>
        <w:rPr>
          <w:rFonts w:ascii="Verdana" w:hAnsi="Verdana" w:cs="Calibri"/>
          <w:color w:val="000000"/>
          <w:sz w:val="18"/>
          <w:szCs w:val="18"/>
        </w:rPr>
      </w:pPr>
    </w:p>
    <w:p w:rsidR="00227CB1" w:rsidRPr="00FF2B82" w:rsidRDefault="00227CB1" w:rsidP="00BA6116">
      <w:pPr>
        <w:pStyle w:val="Lijstalinea"/>
        <w:numPr>
          <w:ilvl w:val="0"/>
          <w:numId w:val="1"/>
        </w:numPr>
        <w:spacing w:after="0" w:line="240" w:lineRule="auto"/>
        <w:rPr>
          <w:rFonts w:ascii="Verdana" w:hAnsi="Verdana" w:cs="Calibri"/>
          <w:b/>
          <w:color w:val="000000"/>
          <w:sz w:val="18"/>
          <w:szCs w:val="18"/>
        </w:rPr>
      </w:pPr>
      <w:r w:rsidRPr="00FF2B82">
        <w:rPr>
          <w:rFonts w:ascii="Verdana" w:hAnsi="Verdana" w:cs="Calibri"/>
          <w:b/>
          <w:color w:val="000000"/>
          <w:sz w:val="18"/>
          <w:szCs w:val="18"/>
        </w:rPr>
        <w:t>Administratieve lasten</w:t>
      </w:r>
    </w:p>
    <w:p w:rsidR="00AE7180" w:rsidRDefault="00227CB1" w:rsidP="00AE7180">
      <w:pPr>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De administratieve lasten zullen verminderen door het vervallen van de meldplicht bij de IND. </w:t>
      </w:r>
    </w:p>
    <w:p w:rsidR="00227CB1" w:rsidRDefault="00227CB1" w:rsidP="00AE7180">
      <w:pPr>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Voor zover het gaat om personen die als ingezetene in de BRP moeten worden ingeschreven, wordt een doublure in meldplichten </w:t>
      </w:r>
      <w:r w:rsidR="0038758F" w:rsidRPr="00FF2B82">
        <w:rPr>
          <w:rFonts w:ascii="Verdana" w:hAnsi="Verdana" w:cs="Calibri"/>
          <w:color w:val="000000"/>
          <w:sz w:val="18"/>
          <w:szCs w:val="18"/>
        </w:rPr>
        <w:t>weggenomen</w:t>
      </w:r>
      <w:r w:rsidRPr="00FF2B82">
        <w:rPr>
          <w:rFonts w:ascii="Verdana" w:hAnsi="Verdana" w:cs="Calibri"/>
          <w:color w:val="000000"/>
          <w:sz w:val="18"/>
          <w:szCs w:val="18"/>
        </w:rPr>
        <w:t xml:space="preserve">. </w:t>
      </w:r>
    </w:p>
    <w:p w:rsidR="00AE7180" w:rsidRPr="00AE7180" w:rsidRDefault="00AE7180" w:rsidP="00AE7180">
      <w:pPr>
        <w:spacing w:after="0" w:line="240" w:lineRule="auto"/>
        <w:rPr>
          <w:rFonts w:ascii="Verdana" w:hAnsi="Verdana" w:cs="Calibri"/>
          <w:color w:val="000000"/>
          <w:sz w:val="18"/>
          <w:szCs w:val="18"/>
        </w:rPr>
      </w:pPr>
      <w:r w:rsidRPr="00AE7180">
        <w:rPr>
          <w:rFonts w:ascii="Verdana" w:hAnsi="Verdana" w:cs="Calibri"/>
          <w:color w:val="000000"/>
          <w:sz w:val="18"/>
          <w:szCs w:val="18"/>
        </w:rPr>
        <w:t xml:space="preserve">Het aantal </w:t>
      </w:r>
      <w:r>
        <w:rPr>
          <w:rFonts w:ascii="Verdana" w:hAnsi="Verdana" w:cs="Calibri"/>
          <w:color w:val="000000"/>
          <w:sz w:val="18"/>
          <w:szCs w:val="18"/>
        </w:rPr>
        <w:t>meldingen</w:t>
      </w:r>
      <w:r w:rsidRPr="00AE7180">
        <w:rPr>
          <w:rFonts w:ascii="Verdana" w:hAnsi="Verdana" w:cs="Calibri"/>
          <w:color w:val="000000"/>
          <w:sz w:val="18"/>
          <w:szCs w:val="18"/>
        </w:rPr>
        <w:t xml:space="preserve"> van EU-</w:t>
      </w:r>
      <w:r>
        <w:rPr>
          <w:rFonts w:ascii="Verdana" w:hAnsi="Verdana" w:cs="Calibri"/>
          <w:color w:val="000000"/>
          <w:sz w:val="18"/>
          <w:szCs w:val="18"/>
        </w:rPr>
        <w:t xml:space="preserve">burgers bij de IND bedroeg in 2012 circa 10.700. De administratieve lasten van een melding </w:t>
      </w:r>
      <w:r w:rsidR="00CA693A">
        <w:rPr>
          <w:rFonts w:ascii="Verdana" w:hAnsi="Verdana" w:cs="Calibri"/>
          <w:color w:val="000000"/>
          <w:sz w:val="18"/>
          <w:szCs w:val="18"/>
        </w:rPr>
        <w:t xml:space="preserve">bedragen circa </w:t>
      </w:r>
      <w:r w:rsidRPr="00AE7180">
        <w:rPr>
          <w:rFonts w:ascii="Verdana" w:hAnsi="Verdana" w:cs="Calibri"/>
          <w:color w:val="000000"/>
          <w:sz w:val="18"/>
          <w:szCs w:val="18"/>
        </w:rPr>
        <w:t>3,0 uur</w:t>
      </w:r>
      <w:r>
        <w:rPr>
          <w:rFonts w:ascii="Verdana" w:hAnsi="Verdana" w:cs="Calibri"/>
          <w:color w:val="000000"/>
          <w:sz w:val="18"/>
          <w:szCs w:val="18"/>
        </w:rPr>
        <w:t xml:space="preserve"> en</w:t>
      </w:r>
      <w:r w:rsidRPr="00AE7180">
        <w:rPr>
          <w:rFonts w:ascii="Verdana" w:hAnsi="Verdana" w:cs="Calibri"/>
          <w:color w:val="000000"/>
          <w:sz w:val="18"/>
          <w:szCs w:val="18"/>
        </w:rPr>
        <w:t xml:space="preserve"> € 1,15</w:t>
      </w:r>
      <w:r>
        <w:rPr>
          <w:rFonts w:ascii="Verdana" w:hAnsi="Verdana" w:cs="Calibri"/>
          <w:color w:val="000000"/>
          <w:sz w:val="18"/>
          <w:szCs w:val="18"/>
        </w:rPr>
        <w:t xml:space="preserve">. </w:t>
      </w:r>
      <w:r w:rsidRPr="00AE7180">
        <w:rPr>
          <w:rFonts w:ascii="Verdana" w:hAnsi="Verdana" w:cs="Calibri"/>
          <w:color w:val="000000"/>
          <w:sz w:val="18"/>
          <w:szCs w:val="18"/>
        </w:rPr>
        <w:t>De besparing die door het afschaffen van de meldplicht wordt bereikt bedraagt aldus per jaar</w:t>
      </w:r>
      <w:r w:rsidR="00CA693A">
        <w:rPr>
          <w:rFonts w:ascii="Verdana" w:hAnsi="Verdana" w:cs="Calibri"/>
          <w:color w:val="000000"/>
          <w:sz w:val="18"/>
          <w:szCs w:val="18"/>
        </w:rPr>
        <w:t xml:space="preserve"> naar schatting:</w:t>
      </w:r>
      <w:r>
        <w:rPr>
          <w:rFonts w:ascii="Verdana" w:hAnsi="Verdana" w:cs="Calibri"/>
          <w:color w:val="000000"/>
          <w:sz w:val="18"/>
          <w:szCs w:val="18"/>
        </w:rPr>
        <w:t xml:space="preserve"> </w:t>
      </w:r>
    </w:p>
    <w:p w:rsidR="00AE7180" w:rsidRPr="00AE7180" w:rsidRDefault="00AE7180" w:rsidP="00AE7180">
      <w:pPr>
        <w:pStyle w:val="Lijstalinea"/>
        <w:numPr>
          <w:ilvl w:val="0"/>
          <w:numId w:val="2"/>
        </w:numPr>
        <w:spacing w:after="0" w:line="240" w:lineRule="auto"/>
        <w:rPr>
          <w:rFonts w:ascii="Verdana" w:hAnsi="Verdana" w:cs="Calibri"/>
          <w:color w:val="000000"/>
          <w:sz w:val="18"/>
          <w:szCs w:val="18"/>
        </w:rPr>
      </w:pPr>
      <w:r w:rsidRPr="00CA693A">
        <w:rPr>
          <w:rFonts w:ascii="Verdana" w:hAnsi="Verdana" w:cs="Calibri"/>
          <w:i/>
          <w:color w:val="000000"/>
          <w:sz w:val="18"/>
          <w:szCs w:val="18"/>
        </w:rPr>
        <w:t>in tijd:</w:t>
      </w:r>
      <w:r w:rsidRPr="00AE7180">
        <w:rPr>
          <w:rFonts w:ascii="Verdana" w:hAnsi="Verdana" w:cs="Calibri"/>
          <w:color w:val="000000"/>
          <w:sz w:val="18"/>
          <w:szCs w:val="18"/>
        </w:rPr>
        <w:t xml:space="preserve"> 3 uur </w:t>
      </w:r>
      <w:r>
        <w:rPr>
          <w:rFonts w:ascii="Verdana" w:hAnsi="Verdana" w:cs="Calibri"/>
          <w:color w:val="000000"/>
          <w:sz w:val="18"/>
          <w:szCs w:val="18"/>
        </w:rPr>
        <w:t>*</w:t>
      </w:r>
      <w:r w:rsidRPr="00AE7180">
        <w:rPr>
          <w:rFonts w:ascii="Verdana" w:hAnsi="Verdana" w:cs="Calibri"/>
          <w:color w:val="000000"/>
          <w:sz w:val="18"/>
          <w:szCs w:val="18"/>
        </w:rPr>
        <w:t xml:space="preserve"> 10.700 meldingen = 32.100 uur</w:t>
      </w:r>
    </w:p>
    <w:p w:rsidR="00AE7180" w:rsidRPr="00AE7180" w:rsidRDefault="00AE7180" w:rsidP="00AE7180">
      <w:pPr>
        <w:pStyle w:val="Lijstalinea"/>
        <w:numPr>
          <w:ilvl w:val="0"/>
          <w:numId w:val="2"/>
        </w:numPr>
        <w:spacing w:after="0" w:line="240" w:lineRule="auto"/>
        <w:rPr>
          <w:rFonts w:ascii="Verdana" w:hAnsi="Verdana" w:cs="Calibri"/>
          <w:color w:val="000000"/>
          <w:sz w:val="18"/>
          <w:szCs w:val="18"/>
        </w:rPr>
      </w:pPr>
      <w:r w:rsidRPr="00CA693A">
        <w:rPr>
          <w:rFonts w:ascii="Verdana" w:hAnsi="Verdana" w:cs="Calibri"/>
          <w:i/>
          <w:color w:val="000000"/>
          <w:sz w:val="18"/>
          <w:szCs w:val="18"/>
        </w:rPr>
        <w:t>in geld:</w:t>
      </w:r>
      <w:r w:rsidRPr="00AE7180">
        <w:rPr>
          <w:rFonts w:ascii="Verdana" w:hAnsi="Verdana" w:cs="Calibri"/>
          <w:color w:val="000000"/>
          <w:sz w:val="18"/>
          <w:szCs w:val="18"/>
        </w:rPr>
        <w:t xml:space="preserve"> € 1,15 </w:t>
      </w:r>
      <w:r>
        <w:rPr>
          <w:rFonts w:ascii="Verdana" w:hAnsi="Verdana" w:cs="Calibri"/>
          <w:color w:val="000000"/>
          <w:sz w:val="18"/>
          <w:szCs w:val="18"/>
        </w:rPr>
        <w:t>*</w:t>
      </w:r>
      <w:r w:rsidRPr="00AE7180">
        <w:rPr>
          <w:rFonts w:ascii="Verdana" w:hAnsi="Verdana" w:cs="Calibri"/>
          <w:color w:val="000000"/>
          <w:sz w:val="18"/>
          <w:szCs w:val="18"/>
        </w:rPr>
        <w:t xml:space="preserve"> 10.700 </w:t>
      </w:r>
      <w:r>
        <w:rPr>
          <w:rFonts w:ascii="Verdana" w:hAnsi="Verdana" w:cs="Calibri"/>
          <w:color w:val="000000"/>
          <w:sz w:val="18"/>
          <w:szCs w:val="18"/>
        </w:rPr>
        <w:t xml:space="preserve">meldingen </w:t>
      </w:r>
      <w:r w:rsidRPr="00AE7180">
        <w:rPr>
          <w:rFonts w:ascii="Verdana" w:hAnsi="Verdana" w:cs="Calibri"/>
          <w:color w:val="000000"/>
          <w:sz w:val="18"/>
          <w:szCs w:val="18"/>
        </w:rPr>
        <w:t>= € 12.305</w:t>
      </w:r>
      <w:r>
        <w:rPr>
          <w:rFonts w:ascii="Verdana" w:hAnsi="Verdana" w:cs="Calibri"/>
          <w:color w:val="000000"/>
          <w:sz w:val="18"/>
          <w:szCs w:val="18"/>
        </w:rPr>
        <w:t>.</w:t>
      </w:r>
    </w:p>
    <w:p w:rsidR="00BA6116" w:rsidRDefault="00BA6116">
      <w:pPr>
        <w:spacing w:after="0" w:line="240" w:lineRule="auto"/>
        <w:rPr>
          <w:rFonts w:ascii="Verdana" w:hAnsi="Verdana" w:cs="Calibri"/>
          <w:b/>
          <w:color w:val="000000"/>
          <w:sz w:val="18"/>
          <w:szCs w:val="18"/>
          <w:u w:val="single"/>
        </w:rPr>
      </w:pPr>
    </w:p>
    <w:p w:rsidR="0011186D" w:rsidRPr="00722C6E" w:rsidRDefault="0011186D" w:rsidP="005F7C46">
      <w:pPr>
        <w:pStyle w:val="Lijstalinea"/>
        <w:numPr>
          <w:ilvl w:val="0"/>
          <w:numId w:val="1"/>
        </w:numPr>
        <w:spacing w:after="0" w:line="240" w:lineRule="auto"/>
        <w:rPr>
          <w:rFonts w:ascii="Verdana" w:hAnsi="Verdana" w:cs="Calibri"/>
          <w:b/>
          <w:color w:val="000000"/>
          <w:sz w:val="18"/>
          <w:szCs w:val="18"/>
        </w:rPr>
      </w:pPr>
      <w:r w:rsidRPr="00722C6E">
        <w:rPr>
          <w:rFonts w:ascii="Verdana" w:hAnsi="Verdana" w:cs="Calibri"/>
          <w:b/>
          <w:color w:val="000000"/>
          <w:sz w:val="18"/>
          <w:szCs w:val="18"/>
        </w:rPr>
        <w:t>Consultatie</w:t>
      </w:r>
    </w:p>
    <w:p w:rsidR="0011186D" w:rsidRPr="00722C6E" w:rsidRDefault="0011186D" w:rsidP="00F2773B">
      <w:pPr>
        <w:spacing w:after="0" w:line="240" w:lineRule="auto"/>
        <w:rPr>
          <w:rFonts w:ascii="Verdana" w:hAnsi="Verdana" w:cs="Calibri"/>
          <w:color w:val="000000"/>
          <w:sz w:val="18"/>
          <w:szCs w:val="18"/>
        </w:rPr>
      </w:pPr>
      <w:r w:rsidRPr="00722C6E">
        <w:rPr>
          <w:rFonts w:ascii="Verdana" w:hAnsi="Verdana" w:cs="Calibri"/>
          <w:color w:val="000000"/>
          <w:sz w:val="18"/>
          <w:szCs w:val="18"/>
        </w:rPr>
        <w:t>Het ontwerp is voor advies voorgelegd aan de Adviescommissie voor Vreemdelingenzaken (ACVZ). De ACVZ heeft bij advies van 2</w:t>
      </w:r>
      <w:r w:rsidR="00C57C49" w:rsidRPr="00722C6E">
        <w:rPr>
          <w:rFonts w:ascii="Verdana" w:hAnsi="Verdana" w:cs="Calibri"/>
          <w:color w:val="000000"/>
          <w:sz w:val="18"/>
          <w:szCs w:val="18"/>
        </w:rPr>
        <w:t>5</w:t>
      </w:r>
      <w:r w:rsidRPr="00722C6E">
        <w:rPr>
          <w:rFonts w:ascii="Verdana" w:hAnsi="Verdana" w:cs="Calibri"/>
          <w:color w:val="000000"/>
          <w:sz w:val="18"/>
          <w:szCs w:val="18"/>
        </w:rPr>
        <w:t xml:space="preserve"> februari 2014 meegedeeld in beginsel positief te staan tegenover het schrappen van de doublure in meldplichten. De ACVZ heeft aanbevolen </w:t>
      </w:r>
      <w:r w:rsidR="00F2773B" w:rsidRPr="00722C6E">
        <w:rPr>
          <w:rFonts w:ascii="Verdana" w:hAnsi="Verdana" w:cs="Calibri"/>
          <w:color w:val="000000"/>
          <w:sz w:val="18"/>
          <w:szCs w:val="18"/>
        </w:rPr>
        <w:t xml:space="preserve">te verduidelijken </w:t>
      </w:r>
      <w:r w:rsidR="001C4762" w:rsidRPr="00722C6E">
        <w:rPr>
          <w:rFonts w:ascii="Verdana" w:hAnsi="Verdana" w:cs="Calibri"/>
          <w:color w:val="000000"/>
          <w:sz w:val="18"/>
          <w:szCs w:val="18"/>
        </w:rPr>
        <w:t xml:space="preserve">of er gevallen zijn waarin </w:t>
      </w:r>
      <w:r w:rsidR="00F2773B" w:rsidRPr="00722C6E">
        <w:rPr>
          <w:rFonts w:ascii="Verdana" w:hAnsi="Verdana" w:cs="Calibri"/>
          <w:color w:val="000000"/>
          <w:sz w:val="18"/>
          <w:szCs w:val="18"/>
        </w:rPr>
        <w:t xml:space="preserve">een EU-burger </w:t>
      </w:r>
      <w:r w:rsidR="001C4762" w:rsidRPr="00722C6E">
        <w:rPr>
          <w:rFonts w:ascii="Verdana" w:hAnsi="Verdana" w:cs="Calibri"/>
          <w:color w:val="000000"/>
          <w:sz w:val="18"/>
          <w:szCs w:val="18"/>
        </w:rPr>
        <w:t xml:space="preserve">geen </w:t>
      </w:r>
      <w:r w:rsidR="00F2773B" w:rsidRPr="00722C6E">
        <w:rPr>
          <w:rFonts w:ascii="Verdana" w:hAnsi="Verdana" w:cs="Calibri"/>
          <w:color w:val="000000"/>
          <w:sz w:val="18"/>
          <w:szCs w:val="18"/>
        </w:rPr>
        <w:t xml:space="preserve">belang </w:t>
      </w:r>
      <w:r w:rsidR="0060150F" w:rsidRPr="00722C6E">
        <w:rPr>
          <w:rFonts w:ascii="Verdana" w:hAnsi="Verdana" w:cs="Calibri"/>
          <w:color w:val="000000"/>
          <w:sz w:val="18"/>
          <w:szCs w:val="18"/>
        </w:rPr>
        <w:t xml:space="preserve">heeft bij </w:t>
      </w:r>
      <w:r w:rsidR="00F2773B" w:rsidRPr="00722C6E">
        <w:rPr>
          <w:rFonts w:ascii="Verdana" w:hAnsi="Verdana" w:cs="Calibri"/>
          <w:color w:val="000000"/>
          <w:sz w:val="18"/>
          <w:szCs w:val="18"/>
        </w:rPr>
        <w:t>een verklaring van inschrijving</w:t>
      </w:r>
      <w:r w:rsidR="0060150F" w:rsidRPr="00722C6E">
        <w:rPr>
          <w:rFonts w:ascii="Verdana" w:hAnsi="Verdana" w:cs="Calibri"/>
          <w:color w:val="000000"/>
          <w:sz w:val="18"/>
          <w:szCs w:val="18"/>
        </w:rPr>
        <w:t>, en, als die gevallen er niet zijn</w:t>
      </w:r>
      <w:r w:rsidR="00FD5CD8" w:rsidRPr="00722C6E">
        <w:rPr>
          <w:rFonts w:ascii="Verdana" w:hAnsi="Verdana" w:cs="Calibri"/>
          <w:color w:val="000000"/>
          <w:sz w:val="18"/>
          <w:szCs w:val="18"/>
        </w:rPr>
        <w:t xml:space="preserve">, </w:t>
      </w:r>
      <w:r w:rsidR="0060150F" w:rsidRPr="00722C6E">
        <w:rPr>
          <w:rFonts w:ascii="Verdana" w:hAnsi="Verdana" w:cs="Calibri"/>
          <w:color w:val="000000"/>
          <w:sz w:val="18"/>
          <w:szCs w:val="18"/>
        </w:rPr>
        <w:t xml:space="preserve">de eis te laten vervallen dat de EU-burger aannemelijk moet maken belang te hebben bij de inschrijvingsverklaring. </w:t>
      </w:r>
    </w:p>
    <w:p w:rsidR="0060150F" w:rsidRPr="00722C6E" w:rsidRDefault="00FD5CD8" w:rsidP="00F2773B">
      <w:pPr>
        <w:spacing w:after="0" w:line="240" w:lineRule="auto"/>
        <w:rPr>
          <w:rFonts w:ascii="Verdana" w:hAnsi="Verdana" w:cs="Calibri"/>
          <w:b/>
          <w:color w:val="000000"/>
          <w:sz w:val="24"/>
          <w:szCs w:val="18"/>
        </w:rPr>
      </w:pPr>
      <w:r w:rsidRPr="00722C6E">
        <w:rPr>
          <w:rFonts w:ascii="Verdana" w:hAnsi="Verdana" w:cs="Calibri"/>
          <w:color w:val="000000"/>
          <w:sz w:val="18"/>
          <w:szCs w:val="18"/>
        </w:rPr>
        <w:t xml:space="preserve">In reactie op dit advies merk ik </w:t>
      </w:r>
      <w:r w:rsidR="008A01A2" w:rsidRPr="00722C6E">
        <w:rPr>
          <w:rFonts w:ascii="Verdana" w:hAnsi="Verdana" w:cs="Calibri"/>
          <w:color w:val="000000"/>
          <w:sz w:val="18"/>
          <w:szCs w:val="18"/>
        </w:rPr>
        <w:t xml:space="preserve">het volgende </w:t>
      </w:r>
      <w:r w:rsidRPr="00722C6E">
        <w:rPr>
          <w:rFonts w:ascii="Verdana" w:hAnsi="Verdana" w:cs="Calibri"/>
          <w:color w:val="000000"/>
          <w:sz w:val="18"/>
          <w:szCs w:val="18"/>
        </w:rPr>
        <w:t>op</w:t>
      </w:r>
      <w:r w:rsidR="008A01A2" w:rsidRPr="00722C6E">
        <w:rPr>
          <w:rFonts w:ascii="Verdana" w:hAnsi="Verdana" w:cs="Calibri"/>
          <w:color w:val="000000"/>
          <w:sz w:val="18"/>
          <w:szCs w:val="18"/>
        </w:rPr>
        <w:t xml:space="preserve">. Een belang wordt </w:t>
      </w:r>
      <w:r w:rsidR="00465B8E" w:rsidRPr="00722C6E">
        <w:rPr>
          <w:rFonts w:ascii="Verdana" w:hAnsi="Verdana" w:cs="Calibri"/>
          <w:color w:val="000000"/>
          <w:sz w:val="18"/>
          <w:szCs w:val="18"/>
        </w:rPr>
        <w:t xml:space="preserve">in ieder geval </w:t>
      </w:r>
      <w:r w:rsidR="008A01A2" w:rsidRPr="00722C6E">
        <w:rPr>
          <w:rFonts w:ascii="Verdana" w:hAnsi="Verdana" w:cs="Calibri"/>
          <w:color w:val="000000"/>
          <w:sz w:val="18"/>
          <w:szCs w:val="18"/>
        </w:rPr>
        <w:t xml:space="preserve">niet aanwezig </w:t>
      </w:r>
      <w:proofErr w:type="gramStart"/>
      <w:r w:rsidR="008A01A2" w:rsidRPr="00722C6E">
        <w:rPr>
          <w:rFonts w:ascii="Verdana" w:hAnsi="Verdana" w:cs="Calibri"/>
          <w:color w:val="000000"/>
          <w:sz w:val="18"/>
          <w:szCs w:val="18"/>
        </w:rPr>
        <w:t>geacht</w:t>
      </w:r>
      <w:proofErr w:type="gramEnd"/>
      <w:r w:rsidR="008A01A2" w:rsidRPr="00722C6E">
        <w:rPr>
          <w:rFonts w:ascii="Verdana" w:hAnsi="Verdana" w:cs="Calibri"/>
          <w:color w:val="000000"/>
          <w:sz w:val="18"/>
          <w:szCs w:val="18"/>
        </w:rPr>
        <w:t xml:space="preserve"> als de EU-burger die om een verklaring van inschrijving verzoekt, uitsluitend stelt de verklaring nodig te hebben voor het verblijfsrecht</w:t>
      </w:r>
      <w:r w:rsidRPr="00722C6E">
        <w:rPr>
          <w:rFonts w:ascii="Verdana" w:hAnsi="Verdana" w:cs="Calibri"/>
          <w:color w:val="000000"/>
          <w:sz w:val="18"/>
          <w:szCs w:val="18"/>
        </w:rPr>
        <w:t xml:space="preserve">. </w:t>
      </w:r>
      <w:r w:rsidR="003E437F" w:rsidRPr="00722C6E">
        <w:rPr>
          <w:rFonts w:ascii="Verdana" w:hAnsi="Verdana" w:cs="Calibri"/>
          <w:color w:val="000000"/>
          <w:sz w:val="18"/>
          <w:szCs w:val="18"/>
        </w:rPr>
        <w:t>Het verblijfsrecht is namelijk niet afhankelijk van het hebben van e</w:t>
      </w:r>
      <w:r w:rsidRPr="00722C6E">
        <w:rPr>
          <w:rFonts w:ascii="Verdana" w:hAnsi="Verdana" w:cs="Calibri"/>
          <w:color w:val="000000"/>
          <w:sz w:val="18"/>
          <w:szCs w:val="18"/>
        </w:rPr>
        <w:t>en verklaring van inschrijving.</w:t>
      </w:r>
    </w:p>
    <w:p w:rsidR="0011186D" w:rsidRDefault="0011186D">
      <w:pPr>
        <w:spacing w:after="0" w:line="240" w:lineRule="auto"/>
        <w:rPr>
          <w:rFonts w:ascii="Verdana" w:hAnsi="Verdana" w:cs="Calibri"/>
          <w:b/>
          <w:color w:val="000000"/>
          <w:sz w:val="18"/>
          <w:szCs w:val="18"/>
          <w:u w:val="single"/>
        </w:rPr>
      </w:pPr>
    </w:p>
    <w:p w:rsidR="00722C6E" w:rsidRPr="00FF2B82" w:rsidRDefault="00722C6E">
      <w:pPr>
        <w:spacing w:after="0" w:line="240" w:lineRule="auto"/>
        <w:rPr>
          <w:rFonts w:ascii="Verdana" w:hAnsi="Verdana" w:cs="Calibri"/>
          <w:b/>
          <w:color w:val="000000"/>
          <w:sz w:val="18"/>
          <w:szCs w:val="18"/>
          <w:u w:val="single"/>
        </w:rPr>
      </w:pPr>
    </w:p>
    <w:p w:rsidR="002756D5" w:rsidRPr="00FF2B82" w:rsidRDefault="002756D5">
      <w:pPr>
        <w:spacing w:after="0" w:line="240" w:lineRule="auto"/>
        <w:rPr>
          <w:rFonts w:ascii="Verdana" w:hAnsi="Verdana" w:cs="Calibri"/>
          <w:b/>
          <w:color w:val="000000"/>
          <w:sz w:val="18"/>
          <w:szCs w:val="18"/>
        </w:rPr>
      </w:pPr>
      <w:r w:rsidRPr="00FF2B82">
        <w:rPr>
          <w:rFonts w:ascii="Verdana" w:hAnsi="Verdana" w:cs="Calibri"/>
          <w:b/>
          <w:color w:val="000000"/>
          <w:sz w:val="18"/>
          <w:szCs w:val="18"/>
        </w:rPr>
        <w:t>ARTIKELSGEWIJZE TOELICHTING</w:t>
      </w:r>
    </w:p>
    <w:p w:rsidR="002756D5" w:rsidRPr="00FF2B82" w:rsidRDefault="002756D5">
      <w:pPr>
        <w:spacing w:after="0" w:line="240" w:lineRule="auto"/>
        <w:rPr>
          <w:rFonts w:ascii="Verdana" w:hAnsi="Verdana" w:cs="Calibri"/>
          <w:b/>
          <w:color w:val="000000"/>
          <w:sz w:val="18"/>
          <w:szCs w:val="18"/>
          <w:u w:val="single"/>
        </w:rPr>
      </w:pPr>
    </w:p>
    <w:p w:rsidR="002756D5" w:rsidRPr="00FF2B82" w:rsidRDefault="002756D5">
      <w:pPr>
        <w:spacing w:after="0" w:line="240" w:lineRule="auto"/>
        <w:rPr>
          <w:rFonts w:ascii="Verdana" w:hAnsi="Verdana" w:cs="Calibri"/>
          <w:b/>
          <w:i/>
          <w:color w:val="000000"/>
          <w:sz w:val="18"/>
          <w:szCs w:val="18"/>
        </w:rPr>
      </w:pPr>
      <w:r w:rsidRPr="00FF2B82">
        <w:rPr>
          <w:rFonts w:ascii="Verdana" w:hAnsi="Verdana" w:cs="Calibri"/>
          <w:b/>
          <w:i/>
          <w:color w:val="000000"/>
          <w:sz w:val="18"/>
          <w:szCs w:val="18"/>
        </w:rPr>
        <w:t>Artikel I, onder A (artikel 8.12, vierde lid)</w:t>
      </w:r>
    </w:p>
    <w:p w:rsidR="002756D5" w:rsidRPr="00FF2B82" w:rsidRDefault="00604CAD">
      <w:pPr>
        <w:spacing w:after="0" w:line="240" w:lineRule="auto"/>
        <w:rPr>
          <w:rFonts w:ascii="Verdana" w:hAnsi="Verdana" w:cs="Calibri"/>
          <w:b/>
          <w:color w:val="000000"/>
          <w:sz w:val="18"/>
          <w:szCs w:val="18"/>
        </w:rPr>
      </w:pPr>
      <w:r w:rsidRPr="00FF2B82">
        <w:rPr>
          <w:rFonts w:ascii="Verdana" w:hAnsi="Verdana" w:cs="Calibri"/>
          <w:color w:val="000000"/>
          <w:sz w:val="18"/>
          <w:szCs w:val="18"/>
        </w:rPr>
        <w:t xml:space="preserve">In dit onderdeel wordt tot uitdrukking gebracht dat </w:t>
      </w:r>
      <w:r w:rsidR="00F35DF5" w:rsidRPr="00FF2B82">
        <w:rPr>
          <w:rFonts w:ascii="Verdana" w:hAnsi="Verdana" w:cs="Calibri"/>
          <w:color w:val="000000"/>
          <w:sz w:val="18"/>
          <w:szCs w:val="18"/>
        </w:rPr>
        <w:t>vrijwillige</w:t>
      </w:r>
      <w:r w:rsidRPr="00FF2B82">
        <w:rPr>
          <w:rFonts w:ascii="Verdana" w:hAnsi="Verdana" w:cs="Calibri"/>
          <w:color w:val="000000"/>
          <w:sz w:val="18"/>
          <w:szCs w:val="18"/>
        </w:rPr>
        <w:t xml:space="preserve"> melding </w:t>
      </w:r>
      <w:r w:rsidR="00B809B2" w:rsidRPr="00FF2B82">
        <w:rPr>
          <w:rFonts w:ascii="Verdana" w:hAnsi="Verdana" w:cs="Calibri"/>
          <w:color w:val="000000"/>
          <w:sz w:val="18"/>
          <w:szCs w:val="18"/>
        </w:rPr>
        <w:t>niet uitgesloten wordt</w:t>
      </w:r>
      <w:r w:rsidRPr="00FF2B82">
        <w:rPr>
          <w:rFonts w:ascii="Verdana" w:hAnsi="Verdana" w:cs="Calibri"/>
          <w:color w:val="000000"/>
          <w:sz w:val="18"/>
          <w:szCs w:val="18"/>
        </w:rPr>
        <w:t xml:space="preserve">, </w:t>
      </w:r>
      <w:proofErr w:type="gramStart"/>
      <w:r w:rsidRPr="00FF2B82">
        <w:rPr>
          <w:rFonts w:ascii="Verdana" w:hAnsi="Verdana" w:cs="Calibri"/>
          <w:color w:val="000000"/>
          <w:sz w:val="18"/>
          <w:szCs w:val="18"/>
        </w:rPr>
        <w:t>teneinde</w:t>
      </w:r>
      <w:proofErr w:type="gramEnd"/>
      <w:r w:rsidRPr="00FF2B82">
        <w:rPr>
          <w:rFonts w:ascii="Verdana" w:hAnsi="Verdana" w:cs="Calibri"/>
          <w:color w:val="000000"/>
          <w:sz w:val="18"/>
          <w:szCs w:val="18"/>
        </w:rPr>
        <w:t xml:space="preserve"> een verklaring van inschrijving aan te vragen bij de IND. Op grond van het rechtszekerheidsbeginsel kan een EU-burger die een indicatie van rechtmatig verblijf wenst, een daartoe strekkende verklaring bezwaarlijk worden onthouden</w:t>
      </w:r>
      <w:r w:rsidR="00F35DF5" w:rsidRPr="00FF2B82">
        <w:rPr>
          <w:rFonts w:ascii="Verdana" w:hAnsi="Verdana" w:cs="Calibri"/>
          <w:color w:val="000000"/>
          <w:sz w:val="18"/>
          <w:szCs w:val="18"/>
        </w:rPr>
        <w:t xml:space="preserve"> indien een EU-burger daarop staat</w:t>
      </w:r>
      <w:r w:rsidRPr="00FF2B82">
        <w:rPr>
          <w:rFonts w:ascii="Verdana" w:hAnsi="Verdana" w:cs="Calibri"/>
          <w:color w:val="000000"/>
          <w:sz w:val="18"/>
          <w:szCs w:val="18"/>
        </w:rPr>
        <w:t xml:space="preserve">. </w:t>
      </w:r>
      <w:r w:rsidR="00B809B2" w:rsidRPr="00FF2B82">
        <w:rPr>
          <w:rFonts w:ascii="Verdana" w:hAnsi="Verdana" w:cs="Calibri"/>
          <w:color w:val="000000"/>
          <w:sz w:val="18"/>
          <w:szCs w:val="18"/>
        </w:rPr>
        <w:t xml:space="preserve">Dit is echter niet meer noodzakelijk en wordt </w:t>
      </w:r>
      <w:r w:rsidR="00653B51" w:rsidRPr="00FF2B82">
        <w:rPr>
          <w:rFonts w:ascii="Verdana" w:hAnsi="Verdana" w:cs="Calibri"/>
          <w:color w:val="000000"/>
          <w:sz w:val="18"/>
          <w:szCs w:val="18"/>
        </w:rPr>
        <w:t>ontmoedigd</w:t>
      </w:r>
      <w:r w:rsidR="00B809B2" w:rsidRPr="00FF2B82">
        <w:rPr>
          <w:rFonts w:ascii="Verdana" w:hAnsi="Verdana" w:cs="Calibri"/>
          <w:color w:val="000000"/>
          <w:sz w:val="18"/>
          <w:szCs w:val="18"/>
        </w:rPr>
        <w:t>, tenzij een concrete aanleiding bestaat.</w:t>
      </w:r>
      <w:r w:rsidR="00097948" w:rsidRPr="00FF2B82">
        <w:rPr>
          <w:rFonts w:ascii="Verdana" w:hAnsi="Verdana" w:cs="Calibri"/>
          <w:color w:val="000000"/>
          <w:sz w:val="18"/>
          <w:szCs w:val="18"/>
        </w:rPr>
        <w:t xml:space="preserve"> Om die reden is in de tekst opgenomen dat de </w:t>
      </w:r>
      <w:r w:rsidR="00995574" w:rsidRPr="00FF2B82">
        <w:rPr>
          <w:rFonts w:ascii="Verdana" w:hAnsi="Verdana" w:cs="Calibri"/>
          <w:color w:val="000000"/>
          <w:sz w:val="18"/>
          <w:szCs w:val="18"/>
        </w:rPr>
        <w:t>EU-burger</w:t>
      </w:r>
      <w:r w:rsidR="00097948" w:rsidRPr="00FF2B82">
        <w:rPr>
          <w:rFonts w:ascii="Verdana" w:hAnsi="Verdana" w:cs="Calibri"/>
          <w:color w:val="000000"/>
          <w:sz w:val="18"/>
          <w:szCs w:val="18"/>
        </w:rPr>
        <w:t xml:space="preserve"> aannemelijk moet maken dat hij belang heeft bij de verklaring van inschrijving. </w:t>
      </w:r>
      <w:r w:rsidR="007919B7" w:rsidRPr="00FF2B82">
        <w:rPr>
          <w:rFonts w:ascii="Verdana" w:hAnsi="Verdana"/>
          <w:sz w:val="18"/>
          <w:szCs w:val="18"/>
        </w:rPr>
        <w:t xml:space="preserve">Indien een EU-burger een </w:t>
      </w:r>
      <w:proofErr w:type="spellStart"/>
      <w:r w:rsidR="007919B7" w:rsidRPr="00FF2B82">
        <w:rPr>
          <w:rFonts w:ascii="Verdana" w:hAnsi="Verdana"/>
          <w:sz w:val="18"/>
          <w:szCs w:val="18"/>
        </w:rPr>
        <w:t>derdelands</w:t>
      </w:r>
      <w:proofErr w:type="spellEnd"/>
      <w:r w:rsidR="007919B7" w:rsidRPr="00FF2B82">
        <w:rPr>
          <w:rFonts w:ascii="Verdana" w:hAnsi="Verdana"/>
          <w:sz w:val="18"/>
          <w:szCs w:val="18"/>
        </w:rPr>
        <w:t xml:space="preserve"> gezinslid laat </w:t>
      </w:r>
      <w:r w:rsidR="007919B7" w:rsidRPr="00FF2B82">
        <w:rPr>
          <w:rFonts w:ascii="Verdana" w:hAnsi="Verdana"/>
          <w:sz w:val="18"/>
          <w:szCs w:val="18"/>
        </w:rPr>
        <w:lastRenderedPageBreak/>
        <w:t xml:space="preserve">overkomen, wordt bij voorbaat aannemelijk </w:t>
      </w:r>
      <w:proofErr w:type="gramStart"/>
      <w:r w:rsidR="007919B7" w:rsidRPr="00FF2B82">
        <w:rPr>
          <w:rFonts w:ascii="Verdana" w:hAnsi="Verdana"/>
          <w:sz w:val="18"/>
          <w:szCs w:val="18"/>
        </w:rPr>
        <w:t>geacht</w:t>
      </w:r>
      <w:proofErr w:type="gramEnd"/>
      <w:r w:rsidR="007919B7" w:rsidRPr="00FF2B82">
        <w:rPr>
          <w:rFonts w:ascii="Verdana" w:hAnsi="Verdana"/>
          <w:sz w:val="18"/>
          <w:szCs w:val="18"/>
        </w:rPr>
        <w:t xml:space="preserve"> dat de EU-burger belang heeft bij de verklaring. </w:t>
      </w:r>
    </w:p>
    <w:p w:rsidR="002756D5" w:rsidRPr="00FF2B82" w:rsidRDefault="002756D5">
      <w:pPr>
        <w:spacing w:after="0" w:line="240" w:lineRule="auto"/>
        <w:rPr>
          <w:rFonts w:ascii="Verdana" w:hAnsi="Verdana" w:cs="Calibri"/>
          <w:b/>
          <w:i/>
          <w:color w:val="000000"/>
          <w:sz w:val="18"/>
          <w:szCs w:val="18"/>
        </w:rPr>
      </w:pPr>
      <w:r w:rsidRPr="00FF2B82">
        <w:rPr>
          <w:rFonts w:ascii="Verdana" w:hAnsi="Verdana" w:cs="Calibri"/>
          <w:b/>
          <w:i/>
          <w:color w:val="000000"/>
          <w:sz w:val="18"/>
          <w:szCs w:val="18"/>
        </w:rPr>
        <w:t>Artikel I, onder B (artikel 8.22, tweede lid)</w:t>
      </w:r>
    </w:p>
    <w:p w:rsidR="002756D5" w:rsidRPr="00FF2B82" w:rsidRDefault="002756D5">
      <w:pPr>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In artikel 8.22, tweede lid, was geregeld dat bij de afgifte van de verklaring tot inschrijving strafrechtelijke antecedenten </w:t>
      </w:r>
      <w:r w:rsidR="00424CDB" w:rsidRPr="00FF2B82">
        <w:rPr>
          <w:rFonts w:ascii="Verdana" w:hAnsi="Verdana" w:cs="Calibri"/>
          <w:color w:val="000000"/>
          <w:sz w:val="18"/>
          <w:szCs w:val="18"/>
        </w:rPr>
        <w:t xml:space="preserve">uit het buitenland </w:t>
      </w:r>
      <w:r w:rsidRPr="00FF2B82">
        <w:rPr>
          <w:rFonts w:ascii="Verdana" w:hAnsi="Verdana" w:cs="Calibri"/>
          <w:color w:val="000000"/>
          <w:sz w:val="18"/>
          <w:szCs w:val="18"/>
        </w:rPr>
        <w:t>kunnen worden opgevraagd. Vanwege het wegvallen van de verplichting tot inschrijving moet een andere grondslag worden geregeld. Dit is gebeurd in artikel 8.22, tweede lid “uiterlijk drie maanden na de datum van binnenkomst.</w:t>
      </w:r>
      <w:r w:rsidR="007729B5" w:rsidRPr="00FF2B82">
        <w:rPr>
          <w:rFonts w:ascii="Verdana" w:hAnsi="Verdana" w:cs="Calibri"/>
          <w:color w:val="000000"/>
          <w:sz w:val="18"/>
          <w:szCs w:val="18"/>
        </w:rPr>
        <w:t xml:space="preserve"> </w:t>
      </w:r>
      <w:r w:rsidR="00424CDB" w:rsidRPr="00FF2B82">
        <w:rPr>
          <w:rFonts w:ascii="Verdana" w:hAnsi="Verdana" w:cs="Calibri"/>
          <w:color w:val="000000"/>
          <w:sz w:val="18"/>
          <w:szCs w:val="18"/>
        </w:rPr>
        <w:t xml:space="preserve">Indien een verklaring van inschrijving wordt gevraagd, kunnen dus strafrechtelijke antecedenten uit het buitenland worden opgevraagd. Indien die verklaring niet wordt gevraagd, kunnen de antecedenten worden opgevraagd tot drie maanden na binnenkomst. </w:t>
      </w:r>
      <w:r w:rsidR="007729B5" w:rsidRPr="00FF2B82">
        <w:rPr>
          <w:rFonts w:ascii="Verdana" w:hAnsi="Verdana" w:cs="Calibri"/>
          <w:color w:val="000000"/>
          <w:sz w:val="18"/>
          <w:szCs w:val="18"/>
        </w:rPr>
        <w:t xml:space="preserve">De </w:t>
      </w:r>
      <w:r w:rsidR="00314114" w:rsidRPr="00FF2B82">
        <w:rPr>
          <w:rFonts w:ascii="Verdana" w:hAnsi="Verdana" w:cs="Calibri"/>
          <w:color w:val="000000"/>
          <w:sz w:val="18"/>
          <w:szCs w:val="18"/>
        </w:rPr>
        <w:t xml:space="preserve">bepaling is gebaseerd op </w:t>
      </w:r>
      <w:r w:rsidR="007729B5" w:rsidRPr="00FF2B82">
        <w:rPr>
          <w:rFonts w:ascii="Verdana" w:hAnsi="Verdana" w:cs="Calibri"/>
          <w:color w:val="000000"/>
          <w:sz w:val="18"/>
          <w:szCs w:val="18"/>
        </w:rPr>
        <w:t>artikel 27, derde lid, van de richtlijn vrij verkeer.</w:t>
      </w:r>
      <w:r w:rsidR="00424CDB" w:rsidRPr="00FF2B82">
        <w:rPr>
          <w:rFonts w:ascii="Verdana" w:hAnsi="Verdana" w:cs="Calibri"/>
          <w:color w:val="000000"/>
          <w:sz w:val="18"/>
          <w:szCs w:val="18"/>
        </w:rPr>
        <w:t xml:space="preserve"> </w:t>
      </w:r>
    </w:p>
    <w:p w:rsidR="002756D5" w:rsidRPr="00FF2B82" w:rsidRDefault="002756D5">
      <w:pPr>
        <w:spacing w:after="0" w:line="240" w:lineRule="auto"/>
        <w:rPr>
          <w:rFonts w:ascii="Verdana" w:hAnsi="Verdana" w:cs="Calibri"/>
          <w:b/>
          <w:i/>
          <w:color w:val="000000"/>
          <w:sz w:val="18"/>
          <w:szCs w:val="18"/>
          <w:u w:val="single"/>
        </w:rPr>
      </w:pPr>
    </w:p>
    <w:p w:rsidR="002756D5" w:rsidRPr="00FF2B82" w:rsidRDefault="002756D5">
      <w:pPr>
        <w:spacing w:after="0" w:line="240" w:lineRule="auto"/>
        <w:rPr>
          <w:rFonts w:ascii="Verdana" w:hAnsi="Verdana" w:cs="Calibri"/>
          <w:b/>
          <w:i/>
          <w:color w:val="000000"/>
          <w:sz w:val="18"/>
          <w:szCs w:val="18"/>
        </w:rPr>
      </w:pPr>
      <w:r w:rsidRPr="00FF2B82">
        <w:rPr>
          <w:rFonts w:ascii="Verdana" w:hAnsi="Verdana" w:cs="Calibri"/>
          <w:b/>
          <w:i/>
          <w:color w:val="000000"/>
          <w:sz w:val="18"/>
          <w:szCs w:val="18"/>
        </w:rPr>
        <w:t>Artikel II</w:t>
      </w:r>
    </w:p>
    <w:p w:rsidR="002756D5" w:rsidRPr="00FF2B82" w:rsidRDefault="002756D5" w:rsidP="002756D5">
      <w:pPr>
        <w:spacing w:after="0" w:line="240" w:lineRule="auto"/>
        <w:rPr>
          <w:rFonts w:ascii="Verdana" w:hAnsi="Verdana" w:cs="Calibri"/>
          <w:color w:val="000000"/>
          <w:sz w:val="18"/>
          <w:szCs w:val="18"/>
        </w:rPr>
      </w:pPr>
      <w:r w:rsidRPr="00FF2B82">
        <w:rPr>
          <w:rFonts w:ascii="Verdana" w:hAnsi="Verdana" w:cs="Calibri"/>
          <w:color w:val="000000"/>
          <w:sz w:val="18"/>
          <w:szCs w:val="18"/>
        </w:rPr>
        <w:t xml:space="preserve">Er wordt afgeweken van de vaste verandermomenten gelet op publieke voordelen van eerdere inwerkingtreding dan het eerstvolgende vaste verandermoment (Aanwijzing 174, vierde lid, onder a, Aanwijzingen voor de regelgeving). </w:t>
      </w:r>
      <w:r w:rsidR="002E795F" w:rsidRPr="002E795F">
        <w:rPr>
          <w:rFonts w:ascii="Verdana" w:hAnsi="Verdana" w:cs="Calibri"/>
          <w:color w:val="000000"/>
          <w:sz w:val="18"/>
          <w:szCs w:val="18"/>
        </w:rPr>
        <w:t xml:space="preserve">De inwerkingtredingsdatum houdt verband met de inwerkingtreding op 6 januari 2014 van de Wet basisregistratie personen, </w:t>
      </w:r>
      <w:proofErr w:type="gramStart"/>
      <w:r w:rsidR="002E795F" w:rsidRPr="002E795F">
        <w:rPr>
          <w:rFonts w:ascii="Verdana" w:hAnsi="Verdana" w:cs="Calibri"/>
          <w:color w:val="000000"/>
          <w:sz w:val="18"/>
          <w:szCs w:val="18"/>
        </w:rPr>
        <w:t>waarin</w:t>
      </w:r>
      <w:proofErr w:type="gramEnd"/>
      <w:r w:rsidR="002E795F" w:rsidRPr="002E795F">
        <w:rPr>
          <w:rFonts w:ascii="Verdana" w:hAnsi="Verdana" w:cs="Calibri"/>
          <w:color w:val="000000"/>
          <w:sz w:val="18"/>
          <w:szCs w:val="18"/>
        </w:rPr>
        <w:t xml:space="preserve"> is geregeld dat gegevens over niet-ingezetenen in de BRP kunnen worden bijgehouden</w:t>
      </w:r>
      <w:r w:rsidR="002E795F">
        <w:rPr>
          <w:rFonts w:ascii="Verdana" w:hAnsi="Verdana" w:cs="Calibri"/>
          <w:color w:val="000000"/>
          <w:sz w:val="18"/>
          <w:szCs w:val="18"/>
        </w:rPr>
        <w:t>.</w:t>
      </w:r>
      <w:r w:rsidRPr="00FF2B82">
        <w:rPr>
          <w:rFonts w:ascii="Verdana" w:hAnsi="Verdana" w:cs="Calibri"/>
          <w:color w:val="000000"/>
          <w:sz w:val="18"/>
          <w:szCs w:val="18"/>
        </w:rPr>
        <w:t xml:space="preserve"> Daarom is terugwerkende kracht tot en met die datum</w:t>
      </w:r>
      <w:r w:rsidRPr="00FF2B82">
        <w:rPr>
          <w:rFonts w:ascii="Verdana" w:hAnsi="Verdana" w:cs="Calibri"/>
          <w:b/>
          <w:color w:val="000000"/>
          <w:sz w:val="18"/>
          <w:szCs w:val="18"/>
        </w:rPr>
        <w:t xml:space="preserve"> </w:t>
      </w:r>
      <w:r w:rsidRPr="00FF2B82">
        <w:rPr>
          <w:rFonts w:ascii="Verdana" w:hAnsi="Verdana" w:cs="Calibri"/>
          <w:color w:val="000000"/>
          <w:sz w:val="18"/>
          <w:szCs w:val="18"/>
        </w:rPr>
        <w:t xml:space="preserve">opgenomen. Hierbij verdient opmerking dat de terugwerkende kracht begunstigend is voor de EU-burgers, aangezien die zich niet meer hoeven aan te melden bij de IND. Dit </w:t>
      </w:r>
      <w:r w:rsidR="0011186D">
        <w:rPr>
          <w:rFonts w:ascii="Verdana" w:hAnsi="Verdana" w:cs="Calibri"/>
          <w:color w:val="000000"/>
          <w:sz w:val="18"/>
          <w:szCs w:val="18"/>
        </w:rPr>
        <w:t>is</w:t>
      </w:r>
      <w:r w:rsidR="0011186D" w:rsidRPr="00FF2B82">
        <w:rPr>
          <w:rFonts w:ascii="Verdana" w:hAnsi="Verdana" w:cs="Calibri"/>
          <w:color w:val="000000"/>
          <w:sz w:val="18"/>
          <w:szCs w:val="18"/>
        </w:rPr>
        <w:t xml:space="preserve"> </w:t>
      </w:r>
      <w:r w:rsidRPr="00FF2B82">
        <w:rPr>
          <w:rFonts w:ascii="Verdana" w:hAnsi="Verdana" w:cs="Calibri"/>
          <w:color w:val="000000"/>
          <w:sz w:val="18"/>
          <w:szCs w:val="18"/>
        </w:rPr>
        <w:t>ook gecommuniceerd. Er worden geen boetes opgelegd voor niet-nakoming van de meldplicht in de periode waarin deze nog niet is geschrapt uit het Vreemdelingenbesluit 2000.</w:t>
      </w:r>
    </w:p>
    <w:p w:rsidR="002756D5" w:rsidRPr="00FF2B82" w:rsidRDefault="002756D5">
      <w:pPr>
        <w:spacing w:after="0" w:line="240" w:lineRule="auto"/>
        <w:rPr>
          <w:rFonts w:ascii="Verdana" w:hAnsi="Verdana" w:cs="Calibri"/>
          <w:b/>
          <w:color w:val="000000"/>
          <w:sz w:val="18"/>
          <w:szCs w:val="18"/>
          <w:u w:val="single"/>
        </w:rPr>
      </w:pPr>
    </w:p>
    <w:p w:rsidR="002756D5" w:rsidRPr="00FF2B82" w:rsidRDefault="002756D5">
      <w:pPr>
        <w:spacing w:after="0" w:line="240" w:lineRule="auto"/>
        <w:rPr>
          <w:rFonts w:ascii="Verdana" w:hAnsi="Verdana" w:cs="Calibri"/>
          <w:b/>
          <w:color w:val="000000"/>
          <w:sz w:val="18"/>
          <w:szCs w:val="18"/>
          <w:u w:val="single"/>
        </w:rPr>
      </w:pPr>
    </w:p>
    <w:p w:rsidR="00597F85" w:rsidRDefault="00227CB1">
      <w:pPr>
        <w:spacing w:after="0" w:line="240" w:lineRule="auto"/>
        <w:rPr>
          <w:rFonts w:ascii="Verdana" w:hAnsi="Verdana"/>
          <w:sz w:val="18"/>
          <w:szCs w:val="18"/>
        </w:rPr>
      </w:pPr>
      <w:r w:rsidRPr="00FF2B82">
        <w:rPr>
          <w:rFonts w:ascii="Verdana" w:hAnsi="Verdana"/>
          <w:sz w:val="18"/>
          <w:szCs w:val="18"/>
        </w:rPr>
        <w:t>De Staatssecretaris van Veiligheid en Justitie,</w:t>
      </w:r>
    </w:p>
    <w:sectPr w:rsidR="00597F85" w:rsidSect="0061463F">
      <w:footerReference w:type="default" r:id="rId9"/>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4D1" w:rsidRDefault="003424D1">
      <w:pPr>
        <w:spacing w:after="0" w:line="240" w:lineRule="auto"/>
      </w:pPr>
      <w:r>
        <w:separator/>
      </w:r>
    </w:p>
  </w:endnote>
  <w:endnote w:type="continuationSeparator" w:id="0">
    <w:p w:rsidR="003424D1" w:rsidRDefault="00342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Verdana" w:hAnsi="Verdana"/>
        <w:sz w:val="16"/>
        <w:szCs w:val="16"/>
      </w:rPr>
      <w:id w:val="-994181233"/>
      <w:docPartObj>
        <w:docPartGallery w:val="Page Numbers (Bottom of Page)"/>
        <w:docPartUnique/>
      </w:docPartObj>
    </w:sdtPr>
    <w:sdtEndPr/>
    <w:sdtContent>
      <w:p w:rsidR="00B648C3" w:rsidRPr="00B648C3" w:rsidRDefault="00B648C3">
        <w:pPr>
          <w:pStyle w:val="Voettekst"/>
          <w:jc w:val="center"/>
          <w:rPr>
            <w:rFonts w:ascii="Verdana" w:hAnsi="Verdana"/>
            <w:sz w:val="16"/>
            <w:szCs w:val="16"/>
          </w:rPr>
        </w:pPr>
        <w:r w:rsidRPr="00B648C3">
          <w:rPr>
            <w:rFonts w:ascii="Verdana" w:hAnsi="Verdana"/>
            <w:sz w:val="16"/>
            <w:szCs w:val="16"/>
          </w:rPr>
          <w:fldChar w:fldCharType="begin"/>
        </w:r>
        <w:r w:rsidRPr="00B648C3">
          <w:rPr>
            <w:rFonts w:ascii="Verdana" w:hAnsi="Verdana"/>
            <w:sz w:val="16"/>
            <w:szCs w:val="16"/>
          </w:rPr>
          <w:instrText>PAGE   \* MERGEFORMAT</w:instrText>
        </w:r>
        <w:r w:rsidRPr="00B648C3">
          <w:rPr>
            <w:rFonts w:ascii="Verdana" w:hAnsi="Verdana"/>
            <w:sz w:val="16"/>
            <w:szCs w:val="16"/>
          </w:rPr>
          <w:fldChar w:fldCharType="separate"/>
        </w:r>
        <w:r w:rsidR="002F14FF">
          <w:rPr>
            <w:rFonts w:ascii="Verdana" w:hAnsi="Verdana"/>
            <w:noProof/>
            <w:sz w:val="16"/>
            <w:szCs w:val="16"/>
          </w:rPr>
          <w:t>1</w:t>
        </w:r>
        <w:r w:rsidRPr="00B648C3">
          <w:rPr>
            <w:rFonts w:ascii="Verdana" w:hAnsi="Verdana"/>
            <w:sz w:val="16"/>
            <w:szCs w:val="16"/>
          </w:rPr>
          <w:fldChar w:fldCharType="end"/>
        </w:r>
      </w:p>
    </w:sdtContent>
  </w:sdt>
  <w:p w:rsidR="00B648C3" w:rsidRPr="00B648C3" w:rsidRDefault="00B648C3">
    <w:pPr>
      <w:pStyle w:val="Voettekst"/>
      <w:rPr>
        <w:rFonts w:ascii="Verdana" w:hAnsi="Verdana"/>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4D1" w:rsidRDefault="003424D1">
      <w:pPr>
        <w:spacing w:after="0" w:line="240" w:lineRule="auto"/>
      </w:pPr>
      <w:r>
        <w:separator/>
      </w:r>
    </w:p>
  </w:footnote>
  <w:footnote w:type="continuationSeparator" w:id="0">
    <w:p w:rsidR="003424D1" w:rsidRDefault="003424D1">
      <w:pPr>
        <w:spacing w:after="0" w:line="240" w:lineRule="auto"/>
      </w:pPr>
      <w:r>
        <w:continuationSeparator/>
      </w:r>
    </w:p>
  </w:footnote>
  <w:footnote w:id="1">
    <w:p w:rsidR="003424D1" w:rsidRPr="0061463F" w:rsidRDefault="003424D1">
      <w:pPr>
        <w:pStyle w:val="Voetnoottekst"/>
        <w:rPr>
          <w:sz w:val="14"/>
          <w:szCs w:val="14"/>
        </w:rPr>
      </w:pPr>
      <w:r w:rsidRPr="0061463F">
        <w:rPr>
          <w:rStyle w:val="Voetnootmarkering"/>
          <w:rFonts w:ascii="Verdana" w:hAnsi="Verdana"/>
          <w:sz w:val="14"/>
          <w:szCs w:val="14"/>
        </w:rPr>
        <w:footnoteRef/>
      </w:r>
      <w:r w:rsidRPr="0061463F">
        <w:rPr>
          <w:rFonts w:ascii="Verdana" w:hAnsi="Verdana"/>
          <w:sz w:val="14"/>
          <w:szCs w:val="14"/>
        </w:rPr>
        <w:t xml:space="preserve"> Artikel 65 van de inmiddels vervallen Wet gemeentelijke basisadministratie persoonsgegevens, waarvoor  artikel 2.38 van de Wet basisregistratie personen in de plaats is </w:t>
      </w:r>
      <w:proofErr w:type="gramStart"/>
      <w:r w:rsidRPr="0061463F">
        <w:rPr>
          <w:rFonts w:ascii="Verdana" w:hAnsi="Verdana"/>
          <w:sz w:val="14"/>
          <w:szCs w:val="14"/>
        </w:rPr>
        <w:t xml:space="preserve">gekomen.  </w:t>
      </w:r>
      <w:proofErr w:type="gramEnd"/>
    </w:p>
  </w:footnote>
  <w:footnote w:id="2">
    <w:p w:rsidR="003424D1" w:rsidRPr="0061463F" w:rsidRDefault="003424D1" w:rsidP="009C0111">
      <w:pPr>
        <w:pStyle w:val="Voetnoottekst"/>
        <w:rPr>
          <w:sz w:val="14"/>
          <w:szCs w:val="14"/>
        </w:rPr>
      </w:pPr>
      <w:r w:rsidRPr="0061463F">
        <w:rPr>
          <w:rStyle w:val="Voetnootmarkering"/>
          <w:rFonts w:ascii="Verdana" w:hAnsi="Verdana"/>
          <w:sz w:val="14"/>
          <w:szCs w:val="14"/>
        </w:rPr>
        <w:footnoteRef/>
      </w:r>
      <w:r w:rsidRPr="0061463F">
        <w:rPr>
          <w:rFonts w:ascii="Verdana" w:hAnsi="Verdana"/>
          <w:sz w:val="14"/>
          <w:szCs w:val="14"/>
        </w:rPr>
        <w:t xml:space="preserve"> Richtlijn 2004/38/EG van het Europees Parlement en de Raad van 29 april 2004 betreffende het recht van vrij verkeer en verblijf op het grondgebied van de lidstaten voor de burgers van de Unie en hun familieleden (...) (</w:t>
      </w:r>
      <w:proofErr w:type="spellStart"/>
      <w:r w:rsidRPr="0061463F">
        <w:rPr>
          <w:rFonts w:ascii="Verdana" w:hAnsi="Verdana"/>
          <w:sz w:val="14"/>
          <w:szCs w:val="14"/>
        </w:rPr>
        <w:t>PbEU</w:t>
      </w:r>
      <w:proofErr w:type="spellEnd"/>
      <w:r w:rsidRPr="0061463F">
        <w:rPr>
          <w:rFonts w:ascii="Verdana" w:hAnsi="Verdana"/>
          <w:sz w:val="14"/>
          <w:szCs w:val="14"/>
        </w:rPr>
        <w:t xml:space="preserve"> 2004, L 229).</w:t>
      </w:r>
    </w:p>
  </w:footnote>
  <w:footnote w:id="3">
    <w:p w:rsidR="003424D1" w:rsidRPr="0061463F" w:rsidRDefault="003424D1">
      <w:pPr>
        <w:pStyle w:val="Voetnoottekst"/>
        <w:rPr>
          <w:sz w:val="14"/>
          <w:szCs w:val="14"/>
        </w:rPr>
      </w:pPr>
      <w:r w:rsidRPr="0061463F">
        <w:rPr>
          <w:rStyle w:val="Voetnootmarkering"/>
          <w:rFonts w:ascii="Verdana" w:hAnsi="Verdana"/>
          <w:sz w:val="14"/>
          <w:szCs w:val="14"/>
        </w:rPr>
        <w:footnoteRef/>
      </w:r>
      <w:r w:rsidRPr="0061463F">
        <w:rPr>
          <w:rFonts w:ascii="Verdana" w:hAnsi="Verdana"/>
          <w:sz w:val="14"/>
          <w:szCs w:val="14"/>
        </w:rPr>
        <w:t xml:space="preserve"> Bijvoorbeeld </w:t>
      </w:r>
      <w:proofErr w:type="spellStart"/>
      <w:r w:rsidRPr="0061463F">
        <w:rPr>
          <w:rFonts w:ascii="Verdana" w:hAnsi="Verdana"/>
          <w:sz w:val="14"/>
          <w:szCs w:val="14"/>
        </w:rPr>
        <w:t>HvJ</w:t>
      </w:r>
      <w:proofErr w:type="spellEnd"/>
      <w:r w:rsidRPr="0061463F">
        <w:rPr>
          <w:rFonts w:ascii="Verdana" w:hAnsi="Verdana"/>
          <w:sz w:val="14"/>
          <w:szCs w:val="14"/>
        </w:rPr>
        <w:t xml:space="preserve"> EU 16 december 2008, nr. C-524/06 (Huber), punt 54.</w:t>
      </w:r>
    </w:p>
  </w:footnote>
  <w:footnote w:id="4">
    <w:p w:rsidR="003424D1" w:rsidRPr="0061463F" w:rsidRDefault="003424D1">
      <w:pPr>
        <w:pStyle w:val="Voetnoottekst"/>
        <w:rPr>
          <w:sz w:val="14"/>
          <w:szCs w:val="14"/>
        </w:rPr>
      </w:pPr>
      <w:r w:rsidRPr="0061463F">
        <w:rPr>
          <w:rStyle w:val="Voetnootmarkering"/>
          <w:rFonts w:ascii="Verdana" w:hAnsi="Verdana"/>
          <w:sz w:val="14"/>
          <w:szCs w:val="14"/>
        </w:rPr>
        <w:footnoteRef/>
      </w:r>
      <w:r w:rsidRPr="0061463F">
        <w:rPr>
          <w:rFonts w:ascii="Verdana" w:hAnsi="Verdana"/>
          <w:sz w:val="14"/>
          <w:szCs w:val="14"/>
        </w:rPr>
        <w:t xml:space="preserve"> Zoals aangekondigd in de nota naar aanleiding van het verslag bij het wetsvoorstel tot Wijziging van de Vreemdelingenwet 2000 in verband met richtlijn 2004/38/EG betreffende het recht van vrij verkeer en verblijf op het grondgebied van de lidstaten voor de burgers van de Unie en hun familieleden (Kamerstukken II 2012/13, 33 286, nr. 5, blz.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5469"/>
    <w:multiLevelType w:val="hybridMultilevel"/>
    <w:tmpl w:val="21A8B0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95E0920"/>
    <w:multiLevelType w:val="hybridMultilevel"/>
    <w:tmpl w:val="6F962EFC"/>
    <w:lvl w:ilvl="0" w:tplc="EA882338">
      <w:numFmt w:val="bullet"/>
      <w:lvlText w:val="-"/>
      <w:lvlJc w:val="left"/>
      <w:pPr>
        <w:ind w:left="720" w:hanging="360"/>
      </w:pPr>
      <w:rPr>
        <w:rFonts w:ascii="Verdana" w:eastAsia="Calibr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B1"/>
    <w:rsid w:val="0005314C"/>
    <w:rsid w:val="00067C83"/>
    <w:rsid w:val="0007179E"/>
    <w:rsid w:val="00097948"/>
    <w:rsid w:val="0011186D"/>
    <w:rsid w:val="00152B3E"/>
    <w:rsid w:val="001706E9"/>
    <w:rsid w:val="001C4762"/>
    <w:rsid w:val="00201D1D"/>
    <w:rsid w:val="00227CB1"/>
    <w:rsid w:val="002756D5"/>
    <w:rsid w:val="002D3C88"/>
    <w:rsid w:val="002E795F"/>
    <w:rsid w:val="002F1125"/>
    <w:rsid w:val="002F14FF"/>
    <w:rsid w:val="00314114"/>
    <w:rsid w:val="003424D1"/>
    <w:rsid w:val="00342A81"/>
    <w:rsid w:val="00364DAF"/>
    <w:rsid w:val="00382038"/>
    <w:rsid w:val="0038758F"/>
    <w:rsid w:val="003C360D"/>
    <w:rsid w:val="003E437F"/>
    <w:rsid w:val="004176D7"/>
    <w:rsid w:val="00424CDB"/>
    <w:rsid w:val="00451CCA"/>
    <w:rsid w:val="00453229"/>
    <w:rsid w:val="00465B8E"/>
    <w:rsid w:val="00597F85"/>
    <w:rsid w:val="005A4078"/>
    <w:rsid w:val="005F7C46"/>
    <w:rsid w:val="0060150F"/>
    <w:rsid w:val="00604CAD"/>
    <w:rsid w:val="0061463F"/>
    <w:rsid w:val="00653B51"/>
    <w:rsid w:val="00690844"/>
    <w:rsid w:val="006D5B10"/>
    <w:rsid w:val="00722C6E"/>
    <w:rsid w:val="007729B5"/>
    <w:rsid w:val="007919B7"/>
    <w:rsid w:val="007E40C4"/>
    <w:rsid w:val="0085295D"/>
    <w:rsid w:val="008A01A2"/>
    <w:rsid w:val="00914D47"/>
    <w:rsid w:val="00995574"/>
    <w:rsid w:val="009962C0"/>
    <w:rsid w:val="009A6943"/>
    <w:rsid w:val="009C0111"/>
    <w:rsid w:val="00A147FF"/>
    <w:rsid w:val="00AB433C"/>
    <w:rsid w:val="00AC050D"/>
    <w:rsid w:val="00AE7180"/>
    <w:rsid w:val="00B45FDE"/>
    <w:rsid w:val="00B648C3"/>
    <w:rsid w:val="00B809B2"/>
    <w:rsid w:val="00BA6116"/>
    <w:rsid w:val="00BC4C5A"/>
    <w:rsid w:val="00BD0B81"/>
    <w:rsid w:val="00C05643"/>
    <w:rsid w:val="00C363F6"/>
    <w:rsid w:val="00C57C49"/>
    <w:rsid w:val="00CA693A"/>
    <w:rsid w:val="00CD344C"/>
    <w:rsid w:val="00D2218A"/>
    <w:rsid w:val="00D517C2"/>
    <w:rsid w:val="00DC3997"/>
    <w:rsid w:val="00DF0351"/>
    <w:rsid w:val="00DF23CF"/>
    <w:rsid w:val="00E07344"/>
    <w:rsid w:val="00E76D65"/>
    <w:rsid w:val="00E963D9"/>
    <w:rsid w:val="00EC0C70"/>
    <w:rsid w:val="00EE008B"/>
    <w:rsid w:val="00F2773B"/>
    <w:rsid w:val="00F35DF5"/>
    <w:rsid w:val="00FA2BB1"/>
    <w:rsid w:val="00FD5CD8"/>
    <w:rsid w:val="00FF2B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200" w:line="276" w:lineRule="auto"/>
    </w:pPr>
    <w:rPr>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pPr>
      <w:spacing w:after="0" w:line="240" w:lineRule="auto"/>
    </w:pPr>
    <w:rPr>
      <w:sz w:val="20"/>
      <w:szCs w:val="20"/>
    </w:rPr>
  </w:style>
  <w:style w:type="character" w:customStyle="1" w:styleId="VoetnoottekstChar">
    <w:name w:val="Voetnoottekst Char"/>
    <w:basedOn w:val="Standaardalinea-lettertype"/>
    <w:link w:val="Voetnoottekst"/>
    <w:uiPriority w:val="99"/>
    <w:semiHidden/>
    <w:locked/>
    <w:rPr>
      <w:rFonts w:cs="Times New Roman"/>
      <w:sz w:val="20"/>
      <w:szCs w:val="20"/>
    </w:rPr>
  </w:style>
  <w:style w:type="character" w:styleId="Voetnootmarkering">
    <w:name w:val="footnote reference"/>
    <w:basedOn w:val="Standaardalinea-lettertype"/>
    <w:uiPriority w:val="99"/>
    <w:semiHidden/>
    <w:rPr>
      <w:rFonts w:cs="Times New Roman"/>
      <w:vertAlign w:val="superscript"/>
    </w:rPr>
  </w:style>
  <w:style w:type="character" w:styleId="Verwijzingopmerking">
    <w:name w:val="annotation reference"/>
    <w:basedOn w:val="Standaardalinea-lettertype"/>
    <w:uiPriority w:val="99"/>
    <w:semiHidden/>
    <w:rPr>
      <w:rFonts w:cs="Times New Roman"/>
      <w:sz w:val="16"/>
      <w:szCs w:val="16"/>
    </w:rPr>
  </w:style>
  <w:style w:type="paragraph" w:styleId="Tekstopmerking">
    <w:name w:val="annotation text"/>
    <w:basedOn w:val="Standaard"/>
    <w:link w:val="TekstopmerkingChar"/>
    <w:uiPriority w:val="99"/>
    <w:semiHidden/>
    <w:pPr>
      <w:spacing w:line="240" w:lineRule="auto"/>
    </w:pPr>
    <w:rPr>
      <w:sz w:val="20"/>
      <w:szCs w:val="20"/>
    </w:rPr>
  </w:style>
  <w:style w:type="character" w:customStyle="1" w:styleId="TekstopmerkingChar">
    <w:name w:val="Tekst opmerking Char"/>
    <w:basedOn w:val="Standaardalinea-lettertype"/>
    <w:link w:val="Tekstopmerking"/>
    <w:uiPriority w:val="99"/>
    <w:semiHidden/>
    <w:locked/>
    <w:rPr>
      <w:rFonts w:cs="Times New Roman"/>
      <w:sz w:val="20"/>
      <w:szCs w:val="20"/>
    </w:rPr>
  </w:style>
  <w:style w:type="paragraph" w:styleId="Onderwerpvanopmerking">
    <w:name w:val="annotation subject"/>
    <w:basedOn w:val="Tekstopmerking"/>
    <w:next w:val="Tekstopmerking"/>
    <w:link w:val="OnderwerpvanopmerkingChar"/>
    <w:uiPriority w:val="99"/>
    <w:semiHidden/>
    <w:rPr>
      <w:b/>
      <w:bCs/>
    </w:rPr>
  </w:style>
  <w:style w:type="character" w:customStyle="1" w:styleId="OnderwerpvanopmerkingChar">
    <w:name w:val="Onderwerp van opmerking Char"/>
    <w:basedOn w:val="TekstopmerkingChar"/>
    <w:link w:val="Onderwerpvanopmerking"/>
    <w:uiPriority w:val="99"/>
    <w:semiHidden/>
    <w:locked/>
    <w:rPr>
      <w:rFonts w:cs="Times New Roman"/>
      <w:b/>
      <w:bCs/>
      <w:sz w:val="20"/>
      <w:szCs w:val="20"/>
    </w:rPr>
  </w:style>
  <w:style w:type="paragraph" w:styleId="Ballontekst">
    <w:name w:val="Balloon Text"/>
    <w:basedOn w:val="Standaard"/>
    <w:link w:val="BallontekstChar"/>
    <w:uiPriority w:val="99"/>
    <w:semiHidden/>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Pr>
      <w:rFonts w:ascii="Tahoma" w:hAnsi="Tahoma" w:cs="Tahoma"/>
      <w:sz w:val="16"/>
      <w:szCs w:val="16"/>
    </w:rPr>
  </w:style>
  <w:style w:type="paragraph" w:styleId="Revisie">
    <w:name w:val="Revision"/>
    <w:hidden/>
    <w:uiPriority w:val="99"/>
    <w:semiHidden/>
    <w:rPr>
      <w:lang w:eastAsia="en-US"/>
    </w:rPr>
  </w:style>
  <w:style w:type="paragraph" w:styleId="Koptekst">
    <w:name w:val="header"/>
    <w:basedOn w:val="Standaard"/>
    <w:link w:val="KoptekstChar"/>
    <w:uiPriority w:val="99"/>
    <w:semiHidden/>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locked/>
    <w:rPr>
      <w:rFonts w:cs="Times New Roman"/>
    </w:rPr>
  </w:style>
  <w:style w:type="paragraph" w:styleId="Voettekst">
    <w:name w:val="footer"/>
    <w:basedOn w:val="Standaard"/>
    <w:link w:val="VoettekstChar"/>
    <w:uiPriority w:val="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Pr>
      <w:rFonts w:cs="Times New Roman"/>
    </w:rPr>
  </w:style>
  <w:style w:type="paragraph" w:styleId="Lijstalinea">
    <w:name w:val="List Paragraph"/>
    <w:basedOn w:val="Standaard"/>
    <w:uiPriority w:val="34"/>
    <w:qFormat/>
    <w:rsid w:val="002756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after="200" w:line="276" w:lineRule="auto"/>
    </w:pPr>
    <w:rPr>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pPr>
      <w:spacing w:after="0" w:line="240" w:lineRule="auto"/>
    </w:pPr>
    <w:rPr>
      <w:sz w:val="20"/>
      <w:szCs w:val="20"/>
    </w:rPr>
  </w:style>
  <w:style w:type="character" w:customStyle="1" w:styleId="VoetnoottekstChar">
    <w:name w:val="Voetnoottekst Char"/>
    <w:basedOn w:val="Standaardalinea-lettertype"/>
    <w:link w:val="Voetnoottekst"/>
    <w:uiPriority w:val="99"/>
    <w:semiHidden/>
    <w:locked/>
    <w:rPr>
      <w:rFonts w:cs="Times New Roman"/>
      <w:sz w:val="20"/>
      <w:szCs w:val="20"/>
    </w:rPr>
  </w:style>
  <w:style w:type="character" w:styleId="Voetnootmarkering">
    <w:name w:val="footnote reference"/>
    <w:basedOn w:val="Standaardalinea-lettertype"/>
    <w:uiPriority w:val="99"/>
    <w:semiHidden/>
    <w:rPr>
      <w:rFonts w:cs="Times New Roman"/>
      <w:vertAlign w:val="superscript"/>
    </w:rPr>
  </w:style>
  <w:style w:type="character" w:styleId="Verwijzingopmerking">
    <w:name w:val="annotation reference"/>
    <w:basedOn w:val="Standaardalinea-lettertype"/>
    <w:uiPriority w:val="99"/>
    <w:semiHidden/>
    <w:rPr>
      <w:rFonts w:cs="Times New Roman"/>
      <w:sz w:val="16"/>
      <w:szCs w:val="16"/>
    </w:rPr>
  </w:style>
  <w:style w:type="paragraph" w:styleId="Tekstopmerking">
    <w:name w:val="annotation text"/>
    <w:basedOn w:val="Standaard"/>
    <w:link w:val="TekstopmerkingChar"/>
    <w:uiPriority w:val="99"/>
    <w:semiHidden/>
    <w:pPr>
      <w:spacing w:line="240" w:lineRule="auto"/>
    </w:pPr>
    <w:rPr>
      <w:sz w:val="20"/>
      <w:szCs w:val="20"/>
    </w:rPr>
  </w:style>
  <w:style w:type="character" w:customStyle="1" w:styleId="TekstopmerkingChar">
    <w:name w:val="Tekst opmerking Char"/>
    <w:basedOn w:val="Standaardalinea-lettertype"/>
    <w:link w:val="Tekstopmerking"/>
    <w:uiPriority w:val="99"/>
    <w:semiHidden/>
    <w:locked/>
    <w:rPr>
      <w:rFonts w:cs="Times New Roman"/>
      <w:sz w:val="20"/>
      <w:szCs w:val="20"/>
    </w:rPr>
  </w:style>
  <w:style w:type="paragraph" w:styleId="Onderwerpvanopmerking">
    <w:name w:val="annotation subject"/>
    <w:basedOn w:val="Tekstopmerking"/>
    <w:next w:val="Tekstopmerking"/>
    <w:link w:val="OnderwerpvanopmerkingChar"/>
    <w:uiPriority w:val="99"/>
    <w:semiHidden/>
    <w:rPr>
      <w:b/>
      <w:bCs/>
    </w:rPr>
  </w:style>
  <w:style w:type="character" w:customStyle="1" w:styleId="OnderwerpvanopmerkingChar">
    <w:name w:val="Onderwerp van opmerking Char"/>
    <w:basedOn w:val="TekstopmerkingChar"/>
    <w:link w:val="Onderwerpvanopmerking"/>
    <w:uiPriority w:val="99"/>
    <w:semiHidden/>
    <w:locked/>
    <w:rPr>
      <w:rFonts w:cs="Times New Roman"/>
      <w:b/>
      <w:bCs/>
      <w:sz w:val="20"/>
      <w:szCs w:val="20"/>
    </w:rPr>
  </w:style>
  <w:style w:type="paragraph" w:styleId="Ballontekst">
    <w:name w:val="Balloon Text"/>
    <w:basedOn w:val="Standaard"/>
    <w:link w:val="BallontekstChar"/>
    <w:uiPriority w:val="99"/>
    <w:semiHidden/>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locked/>
    <w:rPr>
      <w:rFonts w:ascii="Tahoma" w:hAnsi="Tahoma" w:cs="Tahoma"/>
      <w:sz w:val="16"/>
      <w:szCs w:val="16"/>
    </w:rPr>
  </w:style>
  <w:style w:type="paragraph" w:styleId="Revisie">
    <w:name w:val="Revision"/>
    <w:hidden/>
    <w:uiPriority w:val="99"/>
    <w:semiHidden/>
    <w:rPr>
      <w:lang w:eastAsia="en-US"/>
    </w:rPr>
  </w:style>
  <w:style w:type="paragraph" w:styleId="Koptekst">
    <w:name w:val="header"/>
    <w:basedOn w:val="Standaard"/>
    <w:link w:val="KoptekstChar"/>
    <w:uiPriority w:val="99"/>
    <w:semiHidden/>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locked/>
    <w:rPr>
      <w:rFonts w:cs="Times New Roman"/>
    </w:rPr>
  </w:style>
  <w:style w:type="paragraph" w:styleId="Voettekst">
    <w:name w:val="footer"/>
    <w:basedOn w:val="Standaard"/>
    <w:link w:val="VoettekstChar"/>
    <w:uiPriority w:val="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Pr>
      <w:rFonts w:cs="Times New Roman"/>
    </w:rPr>
  </w:style>
  <w:style w:type="paragraph" w:styleId="Lijstalinea">
    <w:name w:val="List Paragraph"/>
    <w:basedOn w:val="Standaard"/>
    <w:uiPriority w:val="34"/>
    <w:qFormat/>
    <w:rsid w:val="002756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A6333-7289-4424-AA0A-67B3876D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1865</Words>
  <Characters>10639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Besluit van … tot wijziging van het Vreemdelingenbesluit 2000 (afschaffing meldplicht EU-burgers)</vt:lpstr>
    </vt:vector>
  </TitlesOfParts>
  <Company>Ministerie van Veiligheid en Justitie</Company>
  <LinksUpToDate>false</LinksUpToDate>
  <CharactersWithSpaces>12480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Besluit van … tot wijziging van het Vreemdelingenbesluit 2000 (afschaffing meldplicht EU-burgers)</dc:title>
  <dc:creator>Spiertz 28 juni</dc:creator>
  <cp:lastModifiedBy>Jap Tjoen San, mw.</cp:lastModifiedBy>
  <cp:revision>4</cp:revision>
  <cp:lastPrinted>2013-12-04T08:33:00Z</cp:lastPrinted>
  <dcterms:created xsi:type="dcterms:W3CDTF">2014-04-28T08:47:00Z</dcterms:created>
  <dcterms:modified xsi:type="dcterms:W3CDTF">2014-04-28T08:49:00Z</dcterms:modified>
</cp:coreProperties>
</file>