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3C7F6B" w:rsidRDefault="007C1591">
      <w:pPr>
        <w:pStyle w:val="broodtekst"/>
        <w:spacing w:line="20" w:lineRule="exact"/>
        <w:ind w:left="360"/>
      </w:pPr>
      <w:r>
        <w:rPr>
          <w:noProof/>
        </w:rPr>
        <mc:AlternateContent>
          <mc:Choice Requires="wps">
            <w:drawing>
              <wp:anchor distT="4294967295" distB="4294967295" distL="114299" distR="114299" simplePos="0" relativeHeight="251658240" behindDoc="0" locked="0" layoutInCell="1" allowOverlap="1">
                <wp:simplePos x="0" y="0"/>
                <wp:positionH relativeFrom="page">
                  <wp:posOffset>-1</wp:posOffset>
                </wp:positionH>
                <wp:positionV relativeFrom="page">
                  <wp:posOffset>-1</wp:posOffset>
                </wp:positionV>
                <wp:extent cx="0" cy="0"/>
                <wp:effectExtent l="0" t="0" r="0" b="0"/>
                <wp:wrapNone/>
                <wp:docPr id="1" name="Carma DocSys~wijwa"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0" cy="0"/>
                        </a:xfrm>
                        <a:prstGeom prst="rect">
                          <a:avLst/>
                        </a:prstGeom>
                        <a:solidFill>
                          <a:srgbClr val="FFFFFF"/>
                        </a:solidFill>
                        <a:ln w="9525" cap="flat" cmpd="sng">
                          <a:solidFill>
                            <a:srgbClr val="FF00FF"/>
                          </a:solidFill>
                          <a:prstDash val="solid"/>
                          <a:miter lim="800000"/>
                          <a:headEnd type="none" w="med" len="med"/>
                          <a:tailEnd type="none" w="med" len="me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0969DC" w:rsidRDefault="000969DC"/>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arma DocSys~wijwa" o:spid="_x0000_s1026" type="#_x0000_t202" style="position:absolute;left:0;text-align:left;margin-left:0;margin-top:0;width:0;height:0;z-index:251658240;visibility:hidden;mso-wrap-style:square;mso-width-percent:0;mso-height-percent:0;mso-wrap-distance-left:3.17497mm;mso-wrap-distance-top:-3e-5mm;mso-wrap-distance-right:3.17497mm;mso-wrap-distance-bottom:-3e-5mm;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" strokecolor="fuchsia">
                <v:textbox style="layout-flow:vertical;mso-layout-flow-alt:bottom-to-top">
                  <w:txbxContent>
                    <w:p w:rsidR="000969DC" w:rsidRDefault="000969DC"/>
                  </w:txbxContent>
                </v:textbox>
                <w10:wrap anchorx="page" anchory="page"/>
              </v:shape>
            </w:pict>
          </mc:Fallback>
        </mc:AlternateContent>
      </w:r>
    </w:p>
    <w:p w:rsidR="00314C91" w:rsidRDefault="006F6918">
      <w:pPr>
        <w:pStyle w:val="broodtekst"/>
        <w:rPr>
          <w:b/>
        </w:rPr>
      </w:pPr>
      <w:r w:rsidRPr="006F6918">
        <w:rPr>
          <w:b/>
        </w:rPr>
        <w:t>Besluit van</w:t>
      </w:r>
    </w:p>
    <w:p w:rsidR="006F6918" w:rsidRPr="006F6918" w:rsidRDefault="006F6918">
      <w:pPr>
        <w:pStyle w:val="broodtekst"/>
        <w:rPr>
          <w:b/>
        </w:rPr>
      </w:pPr>
      <w:r w:rsidRPr="006F6918">
        <w:rPr>
          <w:b/>
        </w:rPr>
        <w:t xml:space="preserve">tot wijziging van het Vreemdelingenbesluit 2000 in verband met </w:t>
      </w:r>
      <w:r w:rsidR="00AA5D3E">
        <w:rPr>
          <w:b/>
        </w:rPr>
        <w:t>aanpassing</w:t>
      </w:r>
      <w:r w:rsidRPr="006F6918">
        <w:rPr>
          <w:b/>
        </w:rPr>
        <w:t xml:space="preserve"> van de regels over het toezicht ter bestrijding van illegaal verblijf na grensoverschrijding</w:t>
      </w:r>
    </w:p>
    <w:p w:rsidR="006F6918" w:rsidRDefault="006F6918">
      <w:pPr>
        <w:pStyle w:val="broodtekst"/>
      </w:pPr>
    </w:p>
    <w:p w:rsidR="006F6918" w:rsidRDefault="006F6918">
      <w:pPr>
        <w:pStyle w:val="broodtekst"/>
      </w:pPr>
    </w:p>
    <w:p w:rsidR="006F6918" w:rsidRDefault="006F6918">
      <w:pPr>
        <w:pStyle w:val="broodtekst"/>
      </w:pPr>
    </w:p>
    <w:p w:rsidR="006F6918" w:rsidRDefault="006F6918">
      <w:pPr>
        <w:pStyle w:val="broodtekst"/>
        <w:sectPr w:rsidR="006F6918" w:rsidSect="00314C91">
          <w:headerReference w:type="even" r:id="rId9"/>
          <w:headerReference w:type="default" r:id="rId10"/>
          <w:footerReference w:type="even" r:id="rId11"/>
          <w:footerReference w:type="default" r:id="rId12"/>
          <w:headerReference w:type="first" r:id="rId13"/>
          <w:footerReference w:type="first" r:id="rId14"/>
          <w:pgSz w:w="11906" w:h="16838" w:code="9"/>
          <w:pgMar w:top="4683" w:right="2818" w:bottom="1758" w:left="1588" w:header="2398" w:footer="561" w:gutter="0"/>
          <w:paperSrc w:first="259" w:other="259"/>
          <w:cols w:space="720"/>
          <w:titlePg/>
          <w:docGrid w:linePitch="360"/>
        </w:sectPr>
      </w:pPr>
    </w:p>
    <w:p w:rsidR="00314C91" w:rsidRDefault="006F6918" w:rsidP="006F6918">
      <w:pPr>
        <w:pStyle w:val="broodtekst"/>
      </w:pPr>
      <w:bookmarkStart w:id="1" w:name="cursor"/>
      <w:bookmarkEnd w:id="1"/>
      <w:r>
        <w:lastRenderedPageBreak/>
        <w:t xml:space="preserve">Op de voordracht van de Staatssecretaris van Veiligheid en Justitie van </w:t>
      </w:r>
      <w:r w:rsidR="00314C91">
        <w:t>2 juni 2014,</w:t>
      </w:r>
    </w:p>
    <w:p w:rsidR="006F6918" w:rsidRDefault="00314C91" w:rsidP="006F6918">
      <w:pPr>
        <w:pStyle w:val="broodtekst"/>
      </w:pPr>
      <w:r>
        <w:t>nr. 522611</w:t>
      </w:r>
    </w:p>
    <w:p w:rsidR="006F6918" w:rsidRDefault="006F6918" w:rsidP="006F6918">
      <w:pPr>
        <w:pStyle w:val="broodtekst"/>
      </w:pPr>
      <w:r>
        <w:t xml:space="preserve"> </w:t>
      </w:r>
    </w:p>
    <w:p w:rsidR="006F6918" w:rsidRDefault="006F6918" w:rsidP="006F6918">
      <w:pPr>
        <w:pStyle w:val="broodtekst"/>
      </w:pPr>
      <w:r>
        <w:t>Gelet op artikel 50, zesde lid, van de Vreemdelingenwet 2000;</w:t>
      </w:r>
    </w:p>
    <w:p w:rsidR="00C01DCD" w:rsidRDefault="00C01DCD" w:rsidP="006F6918">
      <w:pPr>
        <w:pStyle w:val="broodtekst"/>
      </w:pPr>
    </w:p>
    <w:p w:rsidR="006F6918" w:rsidRDefault="00363267" w:rsidP="006F6918">
      <w:pPr>
        <w:pStyle w:val="broodtekst"/>
      </w:pPr>
      <w:r>
        <w:t>De A</w:t>
      </w:r>
      <w:r w:rsidR="006F6918">
        <w:t xml:space="preserve">fdeling Advisering van de Raad van State gehoord (advies van </w:t>
      </w:r>
      <w:r w:rsidR="00C01DCD">
        <w:t>***</w:t>
      </w:r>
      <w:r w:rsidR="006F6918">
        <w:t xml:space="preserve"> nr.</w:t>
      </w:r>
      <w:r w:rsidR="00C01DCD">
        <w:t xml:space="preserve"> ***</w:t>
      </w:r>
      <w:r w:rsidR="006F6918">
        <w:t xml:space="preserve"> </w:t>
      </w:r>
      <w:r w:rsidR="00C01DCD">
        <w:t>)</w:t>
      </w:r>
      <w:r w:rsidR="006F6918">
        <w:t>;</w:t>
      </w:r>
    </w:p>
    <w:p w:rsidR="00C01DCD" w:rsidRDefault="00C01DCD" w:rsidP="006F6918">
      <w:pPr>
        <w:pStyle w:val="broodtekst"/>
      </w:pPr>
    </w:p>
    <w:p w:rsidR="00C01DCD" w:rsidRDefault="006F6918" w:rsidP="006F6918">
      <w:pPr>
        <w:pStyle w:val="broodtekst"/>
      </w:pPr>
      <w:r>
        <w:t xml:space="preserve">Gezien het nader rapport van </w:t>
      </w:r>
      <w:r w:rsidR="00C01DCD">
        <w:t xml:space="preserve">de Staatssecretaris van Veiligheid en Justitie van ***, nr. ***; </w:t>
      </w:r>
    </w:p>
    <w:p w:rsidR="00C01DCD" w:rsidRDefault="00C01DCD" w:rsidP="006F6918">
      <w:pPr>
        <w:pStyle w:val="broodtekst"/>
      </w:pPr>
    </w:p>
    <w:p w:rsidR="006F6918" w:rsidRDefault="006F6918" w:rsidP="006F6918">
      <w:pPr>
        <w:pStyle w:val="broodtekst"/>
      </w:pPr>
      <w:r>
        <w:t>Hebben goedgevonden en verstaan:</w:t>
      </w:r>
    </w:p>
    <w:p w:rsidR="00363267" w:rsidRDefault="00363267">
      <w:pPr>
        <w:pStyle w:val="broodtekst"/>
      </w:pPr>
    </w:p>
    <w:p w:rsidR="00611599" w:rsidRDefault="00611599">
      <w:pPr>
        <w:pStyle w:val="broodtekst"/>
        <w:rPr>
          <w:b/>
        </w:rPr>
      </w:pPr>
      <w:r w:rsidRPr="00611599">
        <w:rPr>
          <w:b/>
        </w:rPr>
        <w:t>Artikel I</w:t>
      </w:r>
    </w:p>
    <w:p w:rsidR="00611599" w:rsidRDefault="00611599">
      <w:pPr>
        <w:pStyle w:val="broodtekst"/>
        <w:rPr>
          <w:b/>
        </w:rPr>
      </w:pPr>
    </w:p>
    <w:p w:rsidR="00363267" w:rsidRDefault="00363267">
      <w:pPr>
        <w:pStyle w:val="broodtekst"/>
      </w:pPr>
      <w:r>
        <w:t>Het Vreemdelingenbesluit 2000 wordt als volgt gewijzigd:</w:t>
      </w:r>
    </w:p>
    <w:p w:rsidR="00C46B37" w:rsidRDefault="00C46B37">
      <w:pPr>
        <w:pStyle w:val="broodtekst"/>
      </w:pPr>
    </w:p>
    <w:p w:rsidR="00363267" w:rsidRDefault="00363267">
      <w:pPr>
        <w:pStyle w:val="broodtekst"/>
      </w:pPr>
      <w:r>
        <w:t>A</w:t>
      </w:r>
    </w:p>
    <w:p w:rsidR="00363267" w:rsidRDefault="00C46B37">
      <w:pPr>
        <w:pStyle w:val="broodtekst"/>
      </w:pPr>
      <w:r>
        <w:br/>
        <w:t>Artikel 4.17a, vierde lid, komt te luiden:</w:t>
      </w:r>
    </w:p>
    <w:p w:rsidR="00C46B37" w:rsidRDefault="00C46B37">
      <w:pPr>
        <w:pStyle w:val="broodtekst"/>
      </w:pPr>
    </w:p>
    <w:p w:rsidR="00C46B37" w:rsidRDefault="00B708C4">
      <w:pPr>
        <w:pStyle w:val="broodtekst"/>
      </w:pPr>
      <w:r>
        <w:t>4.</w:t>
      </w:r>
      <w:r>
        <w:tab/>
      </w:r>
      <w:r>
        <w:tab/>
      </w:r>
      <w:r w:rsidR="00C46B37" w:rsidRPr="00C46B37">
        <w:t xml:space="preserve">Het toezicht, bedoeld in het eerste lid, onderdeel b, wordt per dag in ten hoogste </w:t>
      </w:r>
      <w:r w:rsidR="00C46B37">
        <w:t>drie</w:t>
      </w:r>
      <w:r w:rsidR="00C46B37" w:rsidRPr="00C46B37">
        <w:t xml:space="preserve"> treinen per traject en ten hoogste </w:t>
      </w:r>
      <w:r w:rsidR="00C46B37">
        <w:t>twintig</w:t>
      </w:r>
      <w:r w:rsidR="00C46B37" w:rsidRPr="00C46B37">
        <w:t xml:space="preserve"> treinen in totaal uitgevoerd, </w:t>
      </w:r>
      <w:r w:rsidR="002A2963">
        <w:t xml:space="preserve">met dien verstande dat het toezicht slechts mag worden uitgeoefend </w:t>
      </w:r>
      <w:r w:rsidR="00B961BF">
        <w:t xml:space="preserve">in een deel van de </w:t>
      </w:r>
      <w:r w:rsidR="00C46B37" w:rsidRPr="00C46B37">
        <w:t>trein</w:t>
      </w:r>
      <w:r w:rsidR="002A2963">
        <w:t xml:space="preserve">, en per trein </w:t>
      </w:r>
      <w:r w:rsidR="005B0B7F">
        <w:t xml:space="preserve">in </w:t>
      </w:r>
      <w:r w:rsidR="00C46B37" w:rsidRPr="00C46B37">
        <w:t xml:space="preserve">ten hoogste </w:t>
      </w:r>
      <w:r w:rsidR="00C46B37">
        <w:t>vier</w:t>
      </w:r>
      <w:r w:rsidR="00C46B37" w:rsidRPr="00C46B37">
        <w:t xml:space="preserve"> treincoupés.</w:t>
      </w:r>
    </w:p>
    <w:p w:rsidR="00363267" w:rsidRDefault="00363267">
      <w:pPr>
        <w:pStyle w:val="broodtekst"/>
      </w:pPr>
    </w:p>
    <w:p w:rsidR="00363267" w:rsidRDefault="00363267">
      <w:pPr>
        <w:pStyle w:val="broodtekst"/>
      </w:pPr>
      <w:r>
        <w:t>B</w:t>
      </w:r>
    </w:p>
    <w:p w:rsidR="00363267" w:rsidRDefault="00363267">
      <w:pPr>
        <w:pStyle w:val="broodtekst"/>
      </w:pPr>
    </w:p>
    <w:p w:rsidR="00363267" w:rsidRDefault="00363267">
      <w:pPr>
        <w:pStyle w:val="broodtekst"/>
      </w:pPr>
      <w:r>
        <w:t>Na artikel 4.17a wordt een artikel ingevoegd, luidende:</w:t>
      </w:r>
    </w:p>
    <w:p w:rsidR="00363267" w:rsidRDefault="00363267">
      <w:pPr>
        <w:pStyle w:val="broodtekst"/>
      </w:pPr>
    </w:p>
    <w:p w:rsidR="00363267" w:rsidRPr="003A65C8" w:rsidRDefault="00363267">
      <w:pPr>
        <w:pStyle w:val="broodtekst"/>
        <w:rPr>
          <w:b/>
        </w:rPr>
      </w:pPr>
      <w:r w:rsidRPr="003A65C8">
        <w:rPr>
          <w:b/>
        </w:rPr>
        <w:t>Artikel 4.17b</w:t>
      </w:r>
    </w:p>
    <w:p w:rsidR="00363267" w:rsidRDefault="00363267">
      <w:pPr>
        <w:pStyle w:val="broodtekst"/>
      </w:pPr>
    </w:p>
    <w:p w:rsidR="00D210B0" w:rsidRDefault="00423E17" w:rsidP="00BB478B">
      <w:pPr>
        <w:pStyle w:val="broodtekst"/>
      </w:pPr>
      <w:r>
        <w:t>1</w:t>
      </w:r>
      <w:r w:rsidR="00D52F99">
        <w:t>.</w:t>
      </w:r>
      <w:r w:rsidR="00D52F99">
        <w:tab/>
      </w:r>
      <w:r w:rsidR="00B708C4">
        <w:tab/>
      </w:r>
      <w:r w:rsidR="00D210B0">
        <w:t>Indien er concrete aanwijzingen zijn dat er sprake is van een aanzienlijke toename van illegaal verblijf na grensoverschrijding, dan wel indien er concrete aanwijzingen zijn dat op korte termijn een dergelijke toename kan worden verwacht, kan bij besluit van Onze Minister tijdelijk worden afgeweken van artikel 4.17a, derde, vierde en vijfde lid.</w:t>
      </w:r>
    </w:p>
    <w:p w:rsidR="006810EA" w:rsidRDefault="00A730B1" w:rsidP="00BB478B">
      <w:pPr>
        <w:pStyle w:val="broodtekst"/>
      </w:pPr>
      <w:r>
        <w:lastRenderedPageBreak/>
        <w:t>2.</w:t>
      </w:r>
      <w:r>
        <w:tab/>
      </w:r>
      <w:r>
        <w:tab/>
        <w:t>De geldigheidsduur van het in het eerste lid bedoelde besluit verstrijkt</w:t>
      </w:r>
      <w:r w:rsidR="00CA3995">
        <w:t xml:space="preserve"> in ieder geval vier weken </w:t>
      </w:r>
      <w:r w:rsidR="00BB478B" w:rsidRPr="00BB478B">
        <w:t xml:space="preserve">nadat het is genomen. Onze </w:t>
      </w:r>
      <w:r w:rsidR="00BB478B">
        <w:t>Minister trekt h</w:t>
      </w:r>
      <w:r w:rsidR="00BB478B" w:rsidRPr="00BB478B">
        <w:t>et besluit onverwijld in</w:t>
      </w:r>
      <w:r w:rsidR="00BB478B">
        <w:t xml:space="preserve"> </w:t>
      </w:r>
      <w:r w:rsidR="00BB478B" w:rsidRPr="00BB478B">
        <w:t>indien het niet langer noodzakelijk is.</w:t>
      </w:r>
      <w:r w:rsidR="00C674B8">
        <w:t xml:space="preserve"> </w:t>
      </w:r>
      <w:r w:rsidR="00FE5CDD">
        <w:br/>
      </w:r>
      <w:r w:rsidR="00CA3995">
        <w:t>3</w:t>
      </w:r>
      <w:r w:rsidR="00621992">
        <w:t>.</w:t>
      </w:r>
      <w:r>
        <w:tab/>
      </w:r>
      <w:r>
        <w:tab/>
        <w:t xml:space="preserve">Indien een besluit als bedoeld in het eerste lid is genomen, wordt het </w:t>
      </w:r>
      <w:r w:rsidR="00621992" w:rsidRPr="00621992">
        <w:t xml:space="preserve">toezicht, bedoeld in </w:t>
      </w:r>
      <w:r w:rsidR="00621992">
        <w:t>artikel 4.17a, eerste</w:t>
      </w:r>
      <w:r w:rsidR="00621992" w:rsidRPr="00621992">
        <w:t xml:space="preserve"> lid, onderdeel a,</w:t>
      </w:r>
      <w:r>
        <w:t xml:space="preserve"> </w:t>
      </w:r>
      <w:r w:rsidR="00621992" w:rsidRPr="00621992">
        <w:t>op eenzelfde vliegroute,</w:t>
      </w:r>
      <w:r w:rsidR="00621992">
        <w:t xml:space="preserve"> ten hoogste op de helft van het aantal vluchten per dag uitgevoerd. </w:t>
      </w:r>
      <w:r w:rsidR="00621992" w:rsidRPr="00621992">
        <w:t>In het kader van dit toezicht wordt slechts een deel van de passagiers op een vlucht staande gehouden.</w:t>
      </w:r>
    </w:p>
    <w:p w:rsidR="00621992" w:rsidRDefault="00CA3995" w:rsidP="00584DC3">
      <w:pPr>
        <w:pStyle w:val="broodtekst"/>
      </w:pPr>
      <w:r>
        <w:t>4</w:t>
      </w:r>
      <w:r w:rsidR="00584DC3">
        <w:t xml:space="preserve">. </w:t>
      </w:r>
      <w:r w:rsidR="00A730B1">
        <w:tab/>
      </w:r>
      <w:r w:rsidR="00A730B1" w:rsidRPr="00A730B1">
        <w:t>Indien een besluit als bedoeld in het eerste lid is genomen,</w:t>
      </w:r>
      <w:r w:rsidR="00A730B1">
        <w:t xml:space="preserve"> wordt h</w:t>
      </w:r>
      <w:r w:rsidR="00621992" w:rsidRPr="00621992">
        <w:t xml:space="preserve">et toezicht, bedoeld in </w:t>
      </w:r>
      <w:r w:rsidR="00621992">
        <w:t>artikel 4.17a, eerste lid,</w:t>
      </w:r>
      <w:r w:rsidR="00621992" w:rsidRPr="00621992">
        <w:t xml:space="preserve"> onderdeel b, per dag in ten hoogste </w:t>
      </w:r>
      <w:r w:rsidR="00621992">
        <w:t>zes</w:t>
      </w:r>
      <w:r w:rsidR="00621992" w:rsidRPr="00621992">
        <w:t xml:space="preserve"> treinen per traject en ten hoogste </w:t>
      </w:r>
      <w:r w:rsidR="00621992">
        <w:t>veertig</w:t>
      </w:r>
      <w:r w:rsidR="00621992" w:rsidRPr="00621992">
        <w:t xml:space="preserve"> treinen in totaal uitgevoerd, </w:t>
      </w:r>
      <w:r w:rsidR="008C0A73">
        <w:t>met dien verstande dat het toezicht slechts mag worden uitgeoefend</w:t>
      </w:r>
      <w:r w:rsidR="008C0A73" w:rsidRPr="00621992">
        <w:t xml:space="preserve"> </w:t>
      </w:r>
      <w:r w:rsidR="00621992" w:rsidRPr="00621992">
        <w:t>in een deel van de trein</w:t>
      </w:r>
      <w:r w:rsidR="008C0A73">
        <w:t>, en per trein in</w:t>
      </w:r>
      <w:r w:rsidR="00621992" w:rsidRPr="00621992">
        <w:t xml:space="preserve"> ten hoogste vier treincoupés.</w:t>
      </w:r>
    </w:p>
    <w:p w:rsidR="00C956E6" w:rsidRDefault="00CA3995" w:rsidP="00584DC3">
      <w:pPr>
        <w:pStyle w:val="broodtekst"/>
      </w:pPr>
      <w:r>
        <w:t>5</w:t>
      </w:r>
      <w:r w:rsidR="00584DC3">
        <w:t xml:space="preserve">. </w:t>
      </w:r>
      <w:r w:rsidR="00A730B1">
        <w:tab/>
      </w:r>
      <w:r w:rsidR="00A730B1" w:rsidRPr="00A730B1">
        <w:t>Indien een besluit als bedoeld in het eerste lid is genomen,</w:t>
      </w:r>
      <w:r w:rsidR="00A730B1">
        <w:t xml:space="preserve"> wordt h</w:t>
      </w:r>
      <w:r w:rsidR="00584DC3">
        <w:t xml:space="preserve">et toezicht, bedoeld in </w:t>
      </w:r>
      <w:r w:rsidR="00621992">
        <w:t>artikel 4.17</w:t>
      </w:r>
      <w:r w:rsidR="00294AAE">
        <w:t>a</w:t>
      </w:r>
      <w:r w:rsidR="00621992">
        <w:t xml:space="preserve">, </w:t>
      </w:r>
      <w:r w:rsidR="00584DC3">
        <w:t xml:space="preserve">eerste lid, onderdeel c, op eenzelfde weg of vaarweg ten hoogste </w:t>
      </w:r>
      <w:r w:rsidR="00621992">
        <w:t xml:space="preserve">180 </w:t>
      </w:r>
      <w:r w:rsidR="00584DC3">
        <w:t xml:space="preserve">uur per maand en ten hoogste </w:t>
      </w:r>
      <w:r w:rsidR="00621992">
        <w:t xml:space="preserve">12 </w:t>
      </w:r>
      <w:r w:rsidR="00584DC3">
        <w:t>uur per dag uitgevoerd. In het kader van dit toezicht wordt slechts een deel van de passerende vervoermiddelen stilgehouden.</w:t>
      </w:r>
    </w:p>
    <w:p w:rsidR="00C956E6" w:rsidRDefault="00C956E6">
      <w:pPr>
        <w:pStyle w:val="broodtekst"/>
      </w:pPr>
    </w:p>
    <w:p w:rsidR="00CA6F38" w:rsidRDefault="00CA6F38">
      <w:pPr>
        <w:pStyle w:val="broodtekst"/>
      </w:pPr>
      <w:r>
        <w:t>C</w:t>
      </w:r>
    </w:p>
    <w:p w:rsidR="00CA6F38" w:rsidRDefault="00CA6F38">
      <w:pPr>
        <w:pStyle w:val="broodtekst"/>
      </w:pPr>
    </w:p>
    <w:p w:rsidR="00CA6F38" w:rsidRDefault="00CA6F38">
      <w:pPr>
        <w:pStyle w:val="broodtekst"/>
      </w:pPr>
      <w:r>
        <w:t>Artikel 6.1 wordt als volgt gewijzigd.</w:t>
      </w:r>
    </w:p>
    <w:p w:rsidR="00CA6F38" w:rsidRDefault="00CA6F38">
      <w:pPr>
        <w:pStyle w:val="broodtekst"/>
      </w:pPr>
    </w:p>
    <w:p w:rsidR="00112266" w:rsidRDefault="00CA6F38" w:rsidP="00112266">
      <w:pPr>
        <w:pStyle w:val="broodtekst"/>
      </w:pPr>
      <w:r>
        <w:t>1.</w:t>
      </w:r>
      <w:r w:rsidR="00492438">
        <w:tab/>
      </w:r>
      <w:r w:rsidR="00492438">
        <w:tab/>
      </w:r>
      <w:r w:rsidR="00112266">
        <w:t xml:space="preserve">In het eerste lid </w:t>
      </w:r>
      <w:r w:rsidR="00492438">
        <w:t xml:space="preserve">wordt </w:t>
      </w:r>
      <w:r w:rsidR="00112266">
        <w:t>“</w:t>
      </w:r>
      <w:r w:rsidR="00492438">
        <w:t>feiten of omstandigheden als bedoeld in artikel 5.1b, eerste lid,” vervangen door: tenminste twee van de gronden als bedoeld in artikel 5.1b, derde en vierde lid,.</w:t>
      </w:r>
    </w:p>
    <w:p w:rsidR="00112266" w:rsidRDefault="00492438">
      <w:pPr>
        <w:pStyle w:val="broodtekst"/>
      </w:pPr>
      <w:r>
        <w:t>2.</w:t>
      </w:r>
      <w:r>
        <w:tab/>
      </w:r>
      <w:r>
        <w:tab/>
      </w:r>
      <w:r w:rsidR="00112266">
        <w:t>Het tweede lid vervalt, alsmede de aanduiding “1.”</w:t>
      </w:r>
      <w:r w:rsidR="00112266" w:rsidRPr="00112266">
        <w:t xml:space="preserve"> voor het eerste lid.</w:t>
      </w:r>
    </w:p>
    <w:p w:rsidR="00112266" w:rsidRDefault="00112266">
      <w:pPr>
        <w:pStyle w:val="broodtekst"/>
      </w:pPr>
    </w:p>
    <w:p w:rsidR="00112266" w:rsidRDefault="00112266">
      <w:pPr>
        <w:pStyle w:val="broodtekst"/>
      </w:pPr>
    </w:p>
    <w:p w:rsidR="003A65C8" w:rsidRPr="003A65C8" w:rsidRDefault="003A65C8" w:rsidP="003A65C8">
      <w:pPr>
        <w:pStyle w:val="broodtekst"/>
        <w:rPr>
          <w:b/>
        </w:rPr>
      </w:pPr>
      <w:r w:rsidRPr="003A65C8">
        <w:rPr>
          <w:b/>
        </w:rPr>
        <w:t xml:space="preserve">ARTIKEL II </w:t>
      </w:r>
    </w:p>
    <w:p w:rsidR="003A65C8" w:rsidRDefault="003A65C8" w:rsidP="003A65C8">
      <w:pPr>
        <w:pStyle w:val="broodtekst"/>
      </w:pPr>
    </w:p>
    <w:p w:rsidR="003A65C8" w:rsidRDefault="003A65C8" w:rsidP="003A65C8">
      <w:pPr>
        <w:pStyle w:val="broodtekst"/>
      </w:pPr>
      <w:r>
        <w:t>Dit besluit treedt in werking met ingang van de dag na de datum van uitgifte van het Staatsblad waarin het wordt geplaatst.</w:t>
      </w:r>
    </w:p>
    <w:p w:rsidR="003A65C8" w:rsidRDefault="003A65C8" w:rsidP="003A65C8">
      <w:pPr>
        <w:pStyle w:val="broodtekst"/>
      </w:pPr>
    </w:p>
    <w:p w:rsidR="00363267" w:rsidRDefault="003A65C8" w:rsidP="003A65C8">
      <w:pPr>
        <w:pStyle w:val="broodtekst"/>
        <w:rPr>
          <w:b/>
        </w:rPr>
      </w:pPr>
      <w:r>
        <w:t>Lasten en bevelen dat dit besluit met de daarbij behorende nota van toelichting in het Staatsblad zal worden geplaatst.</w:t>
      </w:r>
    </w:p>
    <w:p w:rsidR="00743B7D" w:rsidRDefault="00743B7D">
      <w:pPr>
        <w:pStyle w:val="broodtekst"/>
        <w:rPr>
          <w:b/>
        </w:rPr>
      </w:pPr>
    </w:p>
    <w:p w:rsidR="00003B7A" w:rsidRDefault="00003B7A">
      <w:pPr>
        <w:pStyle w:val="broodtekst"/>
        <w:rPr>
          <w:b/>
        </w:rPr>
      </w:pPr>
    </w:p>
    <w:p w:rsidR="00003B7A" w:rsidRDefault="00003B7A">
      <w:pPr>
        <w:pStyle w:val="broodtekst"/>
        <w:rPr>
          <w:b/>
        </w:rPr>
      </w:pPr>
    </w:p>
    <w:p w:rsidR="00302071" w:rsidRPr="00302071" w:rsidRDefault="00302071">
      <w:pPr>
        <w:pStyle w:val="broodtekst"/>
      </w:pPr>
      <w:r w:rsidRPr="00302071">
        <w:t>De Staatssecretaris van Veiligheid en Justitie</w:t>
      </w:r>
      <w:r w:rsidR="00220548">
        <w:t>,</w:t>
      </w:r>
    </w:p>
    <w:p w:rsidR="00302071" w:rsidRDefault="00302071">
      <w:pPr>
        <w:pStyle w:val="broodtekst"/>
        <w:rPr>
          <w:b/>
        </w:rPr>
      </w:pPr>
    </w:p>
    <w:p w:rsidR="00003B7A" w:rsidRDefault="00003B7A">
      <w:pPr>
        <w:spacing w:line="240" w:lineRule="auto"/>
        <w:rPr>
          <w:b/>
          <w:szCs w:val="18"/>
        </w:rPr>
      </w:pPr>
      <w:r>
        <w:rPr>
          <w:b/>
        </w:rPr>
        <w:br w:type="page"/>
      </w:r>
    </w:p>
    <w:p w:rsidR="00003B7A" w:rsidRDefault="00003B7A">
      <w:pPr>
        <w:pStyle w:val="broodtekst"/>
        <w:rPr>
          <w:b/>
        </w:rPr>
      </w:pPr>
      <w:r>
        <w:rPr>
          <w:b/>
        </w:rPr>
        <w:lastRenderedPageBreak/>
        <w:t>NOTA VAN TOELICHTING</w:t>
      </w:r>
    </w:p>
    <w:p w:rsidR="00003B7A" w:rsidRDefault="00003B7A" w:rsidP="00003B7A">
      <w:pPr>
        <w:pStyle w:val="broodtekst"/>
        <w:rPr>
          <w:b/>
        </w:rPr>
      </w:pPr>
    </w:p>
    <w:p w:rsidR="00003B7A" w:rsidRPr="00003B7A" w:rsidRDefault="000C2DBF" w:rsidP="00003B7A">
      <w:pPr>
        <w:pStyle w:val="broodtekst"/>
        <w:rPr>
          <w:b/>
        </w:rPr>
      </w:pPr>
      <w:r>
        <w:rPr>
          <w:b/>
        </w:rPr>
        <w:t>1.</w:t>
      </w:r>
      <w:r>
        <w:rPr>
          <w:b/>
        </w:rPr>
        <w:tab/>
      </w:r>
      <w:r>
        <w:rPr>
          <w:b/>
        </w:rPr>
        <w:tab/>
      </w:r>
      <w:r w:rsidR="00003B7A" w:rsidRPr="00003B7A">
        <w:rPr>
          <w:b/>
        </w:rPr>
        <w:t>Inleiding</w:t>
      </w:r>
    </w:p>
    <w:p w:rsidR="00003B7A" w:rsidRDefault="00003B7A" w:rsidP="00003B7A">
      <w:pPr>
        <w:pStyle w:val="broodtekst"/>
      </w:pPr>
    </w:p>
    <w:p w:rsidR="0025452F" w:rsidRDefault="005603AA">
      <w:pPr>
        <w:pStyle w:val="broodtekst"/>
      </w:pPr>
      <w:r w:rsidRPr="00C64F23">
        <w:t>Het</w:t>
      </w:r>
      <w:r>
        <w:t xml:space="preserve"> </w:t>
      </w:r>
      <w:r w:rsidRPr="00C64F23">
        <w:t>toezicht op vreemdelingen ter bestrijding van illegaal verblijf na overschrijding</w:t>
      </w:r>
      <w:r w:rsidR="008F6007">
        <w:t xml:space="preserve"> van de Schengen-binnengrens</w:t>
      </w:r>
      <w:r>
        <w:t>, bekend als het mobiel toezicht veiligheid</w:t>
      </w:r>
      <w:r w:rsidR="009C3D17">
        <w:t xml:space="preserve"> </w:t>
      </w:r>
      <w:r w:rsidRPr="00C64F23">
        <w:t>(</w:t>
      </w:r>
      <w:r>
        <w:t>hierna te noemen</w:t>
      </w:r>
      <w:r w:rsidRPr="00C64F23">
        <w:t>: het mobiel toezicht</w:t>
      </w:r>
      <w:r w:rsidR="00FB015F">
        <w:t xml:space="preserve"> of MTV</w:t>
      </w:r>
      <w:r w:rsidRPr="00C64F23">
        <w:t>)</w:t>
      </w:r>
      <w:r>
        <w:t>,</w:t>
      </w:r>
      <w:r w:rsidRPr="00C64F23">
        <w:t xml:space="preserve"> is erop gericht illegaal verblijf, al dan niet in georganiseerd verband, in een zo vroeg mogelijk stadium tegen te gaan. Dit toezicht is tevens gericht op preventie en ontmoediging van toekomstig illegaal verblijf. Het toezicht wordt in de praktijk uitgevoerd door ambtenaren van de Koninklijke </w:t>
      </w:r>
      <w:r w:rsidR="00636FB2">
        <w:t>m</w:t>
      </w:r>
      <w:r w:rsidRPr="00C64F23">
        <w:t xml:space="preserve">arechaussee (verder te noemen: de </w:t>
      </w:r>
      <w:r w:rsidR="00BC0604">
        <w:t>Kmar</w:t>
      </w:r>
      <w:r w:rsidRPr="00C64F23">
        <w:t xml:space="preserve">) in internationale treinen en op </w:t>
      </w:r>
      <w:r w:rsidR="00B81282">
        <w:t>(vaar)</w:t>
      </w:r>
      <w:r w:rsidRPr="00C64F23">
        <w:t xml:space="preserve">wegen in de grensstreek, maar ook </w:t>
      </w:r>
      <w:r w:rsidR="00294AAE">
        <w:t xml:space="preserve">bij de aankomst </w:t>
      </w:r>
      <w:r w:rsidRPr="00C64F23">
        <w:t xml:space="preserve">van internationaal vliegverkeer </w:t>
      </w:r>
      <w:r w:rsidR="00FB015F">
        <w:t>als</w:t>
      </w:r>
      <w:r w:rsidRPr="00C64F23">
        <w:t xml:space="preserve"> sprake is van een intra-Schengenvlucht naar</w:t>
      </w:r>
      <w:r w:rsidR="0025452F">
        <w:t xml:space="preserve"> het grondgebied van Nederland.</w:t>
      </w:r>
    </w:p>
    <w:p w:rsidR="0025452F" w:rsidRDefault="0025452F">
      <w:pPr>
        <w:pStyle w:val="broodtekst"/>
      </w:pPr>
    </w:p>
    <w:p w:rsidR="005603AA" w:rsidRDefault="002010CA">
      <w:pPr>
        <w:pStyle w:val="broodtekst"/>
      </w:pPr>
      <w:r>
        <w:t>Bij besluit van 30 mei 2</w:t>
      </w:r>
      <w:r w:rsidR="00CC64B9">
        <w:t>011 zijn</w:t>
      </w:r>
      <w:r w:rsidR="009C3D17">
        <w:t xml:space="preserve"> </w:t>
      </w:r>
      <w:r w:rsidR="00CC64B9">
        <w:t xml:space="preserve">in het Vreemdelingenbesluit 2000 </w:t>
      </w:r>
      <w:r>
        <w:t xml:space="preserve">(hierna: het Vb 2000) </w:t>
      </w:r>
      <w:r w:rsidR="00CC64B9">
        <w:t>regels neergelegd</w:t>
      </w:r>
      <w:r>
        <w:t xml:space="preserve"> die dit mobiel toezicht reguleren. </w:t>
      </w:r>
      <w:r w:rsidR="00CC64B9">
        <w:t>Inmiddels is de vraag gerezen of het toezicht op basis van die regels voldoende effectief is.</w:t>
      </w:r>
      <w:r w:rsidR="00C674B8" w:rsidRPr="005603AA">
        <w:t xml:space="preserve"> </w:t>
      </w:r>
      <w:r w:rsidR="005603AA" w:rsidRPr="005603AA">
        <w:t>Met de</w:t>
      </w:r>
      <w:r w:rsidR="009C13BA">
        <w:t xml:space="preserve"> onderhavige </w:t>
      </w:r>
      <w:r w:rsidR="005603AA" w:rsidRPr="005603AA">
        <w:t xml:space="preserve">wijziging van het </w:t>
      </w:r>
      <w:r w:rsidR="009C13BA">
        <w:t xml:space="preserve">Vb 2000 wordt beoogd om </w:t>
      </w:r>
      <w:r w:rsidR="008F6007">
        <w:t>de effectiviteit</w:t>
      </w:r>
      <w:r w:rsidR="005603AA">
        <w:t xml:space="preserve"> van het mo</w:t>
      </w:r>
      <w:r w:rsidR="009C13BA">
        <w:t xml:space="preserve">biel toezicht </w:t>
      </w:r>
      <w:r w:rsidR="008F6007">
        <w:t>te vergroten</w:t>
      </w:r>
      <w:r w:rsidR="009C13BA">
        <w:t xml:space="preserve">. </w:t>
      </w:r>
      <w:r w:rsidR="008F6007">
        <w:t xml:space="preserve">Daartoe zullen de </w:t>
      </w:r>
      <w:r w:rsidR="0025452F">
        <w:t>mogelijkheden voor mobiel toezicht op treinen worden verruimd</w:t>
      </w:r>
      <w:r w:rsidR="008C0A73">
        <w:t xml:space="preserve">. </w:t>
      </w:r>
      <w:r w:rsidR="00A82520">
        <w:t>Het huidige juridisch</w:t>
      </w:r>
      <w:r w:rsidR="008F6007">
        <w:t>e</w:t>
      </w:r>
      <w:r w:rsidR="00A82520">
        <w:t xml:space="preserve"> kader voor de MTV-controles op treinen </w:t>
      </w:r>
      <w:r w:rsidR="008F6007">
        <w:t>blijkt</w:t>
      </w:r>
      <w:r w:rsidR="00A82520">
        <w:t xml:space="preserve"> in de praktijk </w:t>
      </w:r>
      <w:r w:rsidR="008F6007">
        <w:t>te beperkend te zijn</w:t>
      </w:r>
      <w:r w:rsidR="00A82520">
        <w:t xml:space="preserve">. </w:t>
      </w:r>
      <w:r w:rsidR="008C0A73">
        <w:t xml:space="preserve">Daarnaast wordt </w:t>
      </w:r>
      <w:r w:rsidR="0025452F">
        <w:t xml:space="preserve">een nieuwe bepaling opgenomen op basis waarvan </w:t>
      </w:r>
      <w:r w:rsidR="008C0A73">
        <w:t xml:space="preserve">bij wijze van uitzondering en </w:t>
      </w:r>
      <w:r w:rsidR="0025452F">
        <w:t xml:space="preserve">onder strikte voorwaarden tijdelijk een </w:t>
      </w:r>
      <w:r w:rsidR="00294AAE">
        <w:t>verruiming</w:t>
      </w:r>
      <w:r w:rsidR="0025452F">
        <w:t xml:space="preserve"> van het </w:t>
      </w:r>
      <w:r w:rsidR="008C1EDF">
        <w:t xml:space="preserve">mobiel toezicht </w:t>
      </w:r>
      <w:r w:rsidR="0025452F">
        <w:t>mogelijk is.</w:t>
      </w:r>
      <w:r w:rsidR="009D6C38">
        <w:t xml:space="preserve"> </w:t>
      </w:r>
      <w:r w:rsidR="008F6007">
        <w:t xml:space="preserve">Vanzelfsprekend kunnen de in de </w:t>
      </w:r>
      <w:r w:rsidR="008F6007" w:rsidRPr="009C13BA">
        <w:t>Schengengrenscode</w:t>
      </w:r>
      <w:r w:rsidR="008F6007">
        <w:rPr>
          <w:rStyle w:val="Voetnootmarkering"/>
        </w:rPr>
        <w:footnoteReference w:id="1"/>
      </w:r>
      <w:r w:rsidR="008F6007">
        <w:t xml:space="preserve"> gegeven kaders niet worden overschreden.</w:t>
      </w:r>
    </w:p>
    <w:p w:rsidR="008F6007" w:rsidRDefault="008F6007">
      <w:pPr>
        <w:pStyle w:val="broodtekst"/>
      </w:pPr>
    </w:p>
    <w:p w:rsidR="00AD7C4F" w:rsidRPr="005603AA" w:rsidRDefault="005603AA">
      <w:pPr>
        <w:pStyle w:val="broodtekst"/>
        <w:rPr>
          <w:b/>
        </w:rPr>
      </w:pPr>
      <w:r w:rsidRPr="005603AA">
        <w:rPr>
          <w:b/>
        </w:rPr>
        <w:t>2.</w:t>
      </w:r>
      <w:r w:rsidRPr="005603AA">
        <w:rPr>
          <w:b/>
        </w:rPr>
        <w:tab/>
      </w:r>
      <w:r w:rsidRPr="005603AA">
        <w:rPr>
          <w:b/>
        </w:rPr>
        <w:tab/>
      </w:r>
      <w:r w:rsidR="00AD7C4F" w:rsidRPr="005603AA">
        <w:rPr>
          <w:b/>
        </w:rPr>
        <w:t xml:space="preserve"> </w:t>
      </w:r>
      <w:r w:rsidR="00426028">
        <w:rPr>
          <w:b/>
        </w:rPr>
        <w:t>De kaders van de S</w:t>
      </w:r>
      <w:r w:rsidRPr="005603AA">
        <w:rPr>
          <w:b/>
        </w:rPr>
        <w:t>chengengrenscode</w:t>
      </w:r>
    </w:p>
    <w:p w:rsidR="00C64F23" w:rsidRDefault="00C64F23">
      <w:pPr>
        <w:pStyle w:val="broodtekst"/>
      </w:pPr>
    </w:p>
    <w:p w:rsidR="004C6CC6" w:rsidRDefault="008A68BE">
      <w:pPr>
        <w:pStyle w:val="broodtekst"/>
      </w:pPr>
      <w:r>
        <w:t xml:space="preserve">Uitgangspunt bij </w:t>
      </w:r>
      <w:r w:rsidR="008C1EDF">
        <w:t xml:space="preserve">de uitoefening van </w:t>
      </w:r>
      <w:r>
        <w:t xml:space="preserve">het in </w:t>
      </w:r>
      <w:r w:rsidR="00141344">
        <w:t xml:space="preserve">artikel 50, eerste lid, van de Vreemdelingenwet 2000 (hierna: Vw 2000) </w:t>
      </w:r>
      <w:r>
        <w:t xml:space="preserve">bedoelde </w:t>
      </w:r>
      <w:r w:rsidR="00C64F23" w:rsidRPr="00C64F23">
        <w:t>toezicht</w:t>
      </w:r>
      <w:r w:rsidR="004A3098">
        <w:t xml:space="preserve"> </w:t>
      </w:r>
      <w:r w:rsidR="00E25465">
        <w:t xml:space="preserve">ter bestrijding van illegaal verblijf na grensoverschrijding </w:t>
      </w:r>
      <w:r w:rsidR="004A3098">
        <w:t xml:space="preserve">dient steeds te zijn </w:t>
      </w:r>
      <w:r w:rsidR="0025452F">
        <w:t>dat de wijze waarop het</w:t>
      </w:r>
      <w:r w:rsidR="00C64F23" w:rsidRPr="00C64F23">
        <w:t xml:space="preserve"> wordt uitgevoerd</w:t>
      </w:r>
      <w:r w:rsidR="00C64F23">
        <w:t xml:space="preserve"> </w:t>
      </w:r>
      <w:r w:rsidR="0025452F">
        <w:t xml:space="preserve">niet in strijd </w:t>
      </w:r>
      <w:r w:rsidR="004A3098">
        <w:t xml:space="preserve">komt </w:t>
      </w:r>
      <w:r w:rsidR="0025452F">
        <w:t>met d</w:t>
      </w:r>
      <w:r w:rsidR="00C64F23" w:rsidRPr="00C64F23">
        <w:t>e Schengengrenscode</w:t>
      </w:r>
      <w:r w:rsidR="00C64F23">
        <w:t>.</w:t>
      </w:r>
      <w:r w:rsidR="00C64F23" w:rsidRPr="00C64F23">
        <w:t xml:space="preserve"> De Schengengrenscode gaat </w:t>
      </w:r>
      <w:r w:rsidR="0025452F">
        <w:t xml:space="preserve">immers </w:t>
      </w:r>
      <w:r w:rsidR="00C64F23" w:rsidRPr="00C64F23">
        <w:t xml:space="preserve">uit van vrij verkeer van personen in het Schengengebied. Daartoe is het grenstoezicht aan de binnengrenzen afgeschaft. </w:t>
      </w:r>
      <w:r w:rsidR="00705173">
        <w:t xml:space="preserve">In </w:t>
      </w:r>
      <w:r w:rsidR="00705173" w:rsidRPr="00705173">
        <w:t>artikel 21, sub a, van de Schengengrenscode</w:t>
      </w:r>
      <w:r w:rsidR="00705173">
        <w:t xml:space="preserve"> is echter geregeld dat </w:t>
      </w:r>
      <w:r w:rsidR="005F261F">
        <w:t>dit a</w:t>
      </w:r>
      <w:r w:rsidR="00C64F23" w:rsidRPr="00C64F23">
        <w:t xml:space="preserve">an de binnengrenzen evenwel – ook in grensgebieden – geen afbreuk </w:t>
      </w:r>
      <w:r w:rsidR="00705173">
        <w:t xml:space="preserve">doet </w:t>
      </w:r>
      <w:r w:rsidR="00C64F23" w:rsidRPr="00C64F23">
        <w:t xml:space="preserve">aan de uitoefening van de politiebevoegdheden door de bevoegde instanties van de lidstaten overeenkomstig de nationale wetgeving, voor zover de uitoefening van die bevoegdheid niet hetzelfde effect heeft als grenscontroles. </w:t>
      </w:r>
    </w:p>
    <w:p w:rsidR="004C6CC6" w:rsidRDefault="004C6CC6">
      <w:pPr>
        <w:pStyle w:val="broodtekst"/>
      </w:pPr>
    </w:p>
    <w:p w:rsidR="004C6CC6" w:rsidRDefault="008B0838" w:rsidP="00EA754C">
      <w:pPr>
        <w:pStyle w:val="broodtekst"/>
      </w:pPr>
      <w:r>
        <w:t xml:space="preserve">Bij </w:t>
      </w:r>
      <w:r w:rsidR="006D5BC8">
        <w:t xml:space="preserve">het voornoemde </w:t>
      </w:r>
      <w:r>
        <w:t>besluit van 30 mei 2011</w:t>
      </w:r>
      <w:r>
        <w:rPr>
          <w:rStyle w:val="Voetnootmarkering"/>
        </w:rPr>
        <w:footnoteReference w:id="2"/>
      </w:r>
      <w:r>
        <w:t xml:space="preserve"> is artikel 4.17a ingevoegd in het Vb 2000. Met deze </w:t>
      </w:r>
      <w:r w:rsidRPr="008B0838">
        <w:t xml:space="preserve">wijziging van het </w:t>
      </w:r>
      <w:r>
        <w:t xml:space="preserve">Vb 2000 is </w:t>
      </w:r>
      <w:r w:rsidRPr="008B0838">
        <w:t xml:space="preserve">beoogd zodanige waarborgen te </w:t>
      </w:r>
      <w:r w:rsidR="004A3098">
        <w:t>bieden</w:t>
      </w:r>
      <w:r w:rsidRPr="008B0838">
        <w:t xml:space="preserve"> dat het mobiel toezicht niet hetzelfde effect heeft als grenscontrole in de zin van de Schengengrenscode. Hiermee </w:t>
      </w:r>
      <w:r>
        <w:t>is</w:t>
      </w:r>
      <w:r w:rsidRPr="008B0838">
        <w:t xml:space="preserve"> gevolg gegeven a</w:t>
      </w:r>
      <w:r>
        <w:t xml:space="preserve">an </w:t>
      </w:r>
      <w:r w:rsidR="00EA754C">
        <w:t xml:space="preserve">het arrest </w:t>
      </w:r>
      <w:r>
        <w:t xml:space="preserve">van het </w:t>
      </w:r>
      <w:r w:rsidRPr="008B0838">
        <w:t>Hof van Justitie</w:t>
      </w:r>
      <w:r>
        <w:t xml:space="preserve"> </w:t>
      </w:r>
      <w:r w:rsidR="003F2E1E">
        <w:t xml:space="preserve">(hierna: het Hof) </w:t>
      </w:r>
      <w:r w:rsidRPr="008B0838">
        <w:t>van 22 juni 2010 (Melki en Abdeli)</w:t>
      </w:r>
      <w:r>
        <w:rPr>
          <w:rStyle w:val="Voetnootmarkering"/>
        </w:rPr>
        <w:footnoteReference w:id="3"/>
      </w:r>
      <w:r w:rsidRPr="008B0838">
        <w:t xml:space="preserve"> en de uitspraak van de Afdeling </w:t>
      </w:r>
      <w:r w:rsidRPr="008B0838">
        <w:lastRenderedPageBreak/>
        <w:t>bestuursrechtspraak van de Raad van State (</w:t>
      </w:r>
      <w:r w:rsidR="00EA754C">
        <w:t xml:space="preserve">hierna: de </w:t>
      </w:r>
      <w:r w:rsidR="003E37EE">
        <w:t>Afdeling)</w:t>
      </w:r>
      <w:r w:rsidR="00EA754C">
        <w:t xml:space="preserve"> van 28 december</w:t>
      </w:r>
      <w:r w:rsidR="003E37EE">
        <w:t> </w:t>
      </w:r>
      <w:r w:rsidR="00EA754C">
        <w:t>2010</w:t>
      </w:r>
      <w:r w:rsidR="00EA754C">
        <w:rPr>
          <w:rStyle w:val="Voetnootmarkering"/>
        </w:rPr>
        <w:footnoteReference w:id="4"/>
      </w:r>
      <w:r w:rsidRPr="008B0838">
        <w:t xml:space="preserve"> en </w:t>
      </w:r>
      <w:r w:rsidR="004A3098">
        <w:t>is</w:t>
      </w:r>
      <w:r w:rsidRPr="008B0838">
        <w:t xml:space="preserve"> het mobiel toezicht in overeenstemming </w:t>
      </w:r>
      <w:r w:rsidR="008A68BE" w:rsidRPr="008B0838">
        <w:t xml:space="preserve">gebracht </w:t>
      </w:r>
      <w:r w:rsidRPr="008B0838">
        <w:t>met artikel 21, onderdeel a, van de Schengengrenscode.</w:t>
      </w:r>
      <w:r w:rsidR="00A722D5">
        <w:t xml:space="preserve"> Voor een nadere beschrijving van de wijze waarop het mobiel toezicht is ingericht, wordt verwezen naar de nota van toelichting bij </w:t>
      </w:r>
      <w:r w:rsidR="00224544">
        <w:t xml:space="preserve">het </w:t>
      </w:r>
      <w:r w:rsidR="00A722D5">
        <w:t>besluit</w:t>
      </w:r>
      <w:r w:rsidR="003F2E1E">
        <w:t xml:space="preserve"> van 30 mei 2011</w:t>
      </w:r>
      <w:r w:rsidR="00A722D5">
        <w:t>.</w:t>
      </w:r>
    </w:p>
    <w:p w:rsidR="00775007" w:rsidRDefault="00775007">
      <w:pPr>
        <w:pStyle w:val="broodtekst"/>
      </w:pPr>
    </w:p>
    <w:p w:rsidR="006A19AA" w:rsidRPr="006A19AA" w:rsidRDefault="00EA754C" w:rsidP="006A19AA">
      <w:pPr>
        <w:rPr>
          <w:szCs w:val="18"/>
        </w:rPr>
      </w:pPr>
      <w:r>
        <w:t xml:space="preserve">In een arrest van 19 juli 2012 </w:t>
      </w:r>
      <w:r w:rsidR="002338A1">
        <w:t xml:space="preserve">(Adil) </w:t>
      </w:r>
      <w:r>
        <w:t>heeft het Hof</w:t>
      </w:r>
      <w:r w:rsidR="006A19AA">
        <w:rPr>
          <w:rStyle w:val="Voetnootmarkering"/>
        </w:rPr>
        <w:footnoteReference w:id="5"/>
      </w:r>
      <w:r>
        <w:t xml:space="preserve"> naar aanleiding van </w:t>
      </w:r>
      <w:r w:rsidR="006A19AA">
        <w:t xml:space="preserve">prejudiciële vragen van de </w:t>
      </w:r>
      <w:r w:rsidR="003E37EE">
        <w:t>Afdeling</w:t>
      </w:r>
      <w:r w:rsidR="006910AB">
        <w:rPr>
          <w:rStyle w:val="Voetnootmarkering"/>
        </w:rPr>
        <w:footnoteReference w:id="6"/>
      </w:r>
      <w:r w:rsidR="008C1EDF">
        <w:t xml:space="preserve"> </w:t>
      </w:r>
      <w:r w:rsidR="006A19AA">
        <w:t xml:space="preserve">overwogen dat de </w:t>
      </w:r>
      <w:r w:rsidR="006A19AA" w:rsidRPr="006A19AA">
        <w:rPr>
          <w:szCs w:val="18"/>
        </w:rPr>
        <w:t>preciseringen en beperkingen</w:t>
      </w:r>
      <w:r w:rsidR="006A19AA">
        <w:rPr>
          <w:szCs w:val="18"/>
        </w:rPr>
        <w:t xml:space="preserve"> die</w:t>
      </w:r>
      <w:r w:rsidR="006A19AA" w:rsidRPr="006A19AA">
        <w:rPr>
          <w:szCs w:val="18"/>
        </w:rPr>
        <w:t xml:space="preserve"> </w:t>
      </w:r>
      <w:r w:rsidR="006A19AA">
        <w:rPr>
          <w:szCs w:val="18"/>
        </w:rPr>
        <w:t xml:space="preserve">in artikel </w:t>
      </w:r>
      <w:r w:rsidR="006A19AA" w:rsidRPr="006A19AA">
        <w:rPr>
          <w:szCs w:val="18"/>
        </w:rPr>
        <w:t xml:space="preserve">4.17a van het </w:t>
      </w:r>
      <w:r w:rsidR="006A19AA">
        <w:rPr>
          <w:szCs w:val="18"/>
        </w:rPr>
        <w:t xml:space="preserve">Vb 2000 </w:t>
      </w:r>
      <w:r w:rsidR="006A19AA" w:rsidRPr="006A19AA">
        <w:rPr>
          <w:szCs w:val="18"/>
        </w:rPr>
        <w:t xml:space="preserve">zijn ingevoerd als randvoorwaarden voor de intensiteit, de frequentie en de selectiviteit van de controles die mogen worden verricht, dusdanig </w:t>
      </w:r>
      <w:r w:rsidR="006A19AA">
        <w:rPr>
          <w:szCs w:val="18"/>
        </w:rPr>
        <w:t xml:space="preserve">zijn </w:t>
      </w:r>
      <w:r w:rsidR="006A19AA" w:rsidRPr="006A19AA">
        <w:rPr>
          <w:szCs w:val="18"/>
        </w:rPr>
        <w:t xml:space="preserve">dat </w:t>
      </w:r>
      <w:r w:rsidR="003E37EE">
        <w:rPr>
          <w:szCs w:val="18"/>
        </w:rPr>
        <w:t>wordt</w:t>
      </w:r>
      <w:r w:rsidR="006A19AA" w:rsidRPr="006A19AA">
        <w:rPr>
          <w:szCs w:val="18"/>
        </w:rPr>
        <w:t xml:space="preserve"> voorkomen dat de feitelijke uitoefening van de in het Nederlandse recht toegekende politiebevoegdheid, in strijd met artikel 21, sub a, van </w:t>
      </w:r>
      <w:r w:rsidR="00097907">
        <w:rPr>
          <w:szCs w:val="18"/>
        </w:rPr>
        <w:t>de Schengengrenscode</w:t>
      </w:r>
      <w:r w:rsidR="006A19AA">
        <w:rPr>
          <w:szCs w:val="18"/>
        </w:rPr>
        <w:t>,</w:t>
      </w:r>
      <w:r w:rsidR="006A19AA" w:rsidRPr="006A19AA">
        <w:rPr>
          <w:szCs w:val="18"/>
        </w:rPr>
        <w:t xml:space="preserve"> leidt tot controles die eenzelfde effect hebben als grenscontroles</w:t>
      </w:r>
      <w:r w:rsidR="006A19AA">
        <w:rPr>
          <w:szCs w:val="18"/>
        </w:rPr>
        <w:t xml:space="preserve"> (punt 82)</w:t>
      </w:r>
      <w:r w:rsidR="006A19AA" w:rsidRPr="006A19AA">
        <w:rPr>
          <w:szCs w:val="18"/>
        </w:rPr>
        <w:t>.</w:t>
      </w:r>
    </w:p>
    <w:p w:rsidR="00EA754C" w:rsidRDefault="00EA754C">
      <w:pPr>
        <w:pStyle w:val="broodtekst"/>
      </w:pPr>
    </w:p>
    <w:p w:rsidR="006910AB" w:rsidRDefault="006910AB" w:rsidP="006910AB">
      <w:pPr>
        <w:pStyle w:val="broodtekst"/>
      </w:pPr>
      <w:r>
        <w:t xml:space="preserve">Wel is in dit arrest benadrukt dat hoe meer aanwijzingen er voor een mogelijk zelfde effect als grenscontroles zijn, hoe strikter de preciseringen en beperkingen rond de uitoefening van de politiebevoegdheid van de lidstaten in een grensgebied moeten zijn en hoe strikter deze moeten worden nageleefd, om de doelstelling van de afschaffing van de controles aan de binnengrenzen niet in gevaar te brengen. </w:t>
      </w:r>
      <w:r w:rsidR="002239CE">
        <w:t xml:space="preserve">Dergelijke aanwijzingen kunnen voortvloeien uit de </w:t>
      </w:r>
      <w:r w:rsidR="002239CE" w:rsidRPr="002239CE">
        <w:t>doelstelling die door de in een grensgebied verrichte controles wordt nagestreefd, de territoriale werkingssfeer van deze controles en het bestaan van een verschillende grondslag voor genoemde controles en die welke op de rest van het grondgebied worden verricht</w:t>
      </w:r>
      <w:r w:rsidR="002239CE">
        <w:t xml:space="preserve">. </w:t>
      </w:r>
      <w:r>
        <w:t>Het in dat verband vereiste kader moet, zo overweegt het Hof, voldoende nauwkeurig en gedetailleerd zijn, zodat zowel de noodzaak van de controles als de concreet toegestane controlemaatregelen zelf ook aan controles kunnen worden onderworpen.</w:t>
      </w:r>
    </w:p>
    <w:p w:rsidR="00097907" w:rsidRDefault="00097907">
      <w:pPr>
        <w:pStyle w:val="broodtekst"/>
      </w:pPr>
    </w:p>
    <w:p w:rsidR="00097907" w:rsidRDefault="008C1EDF" w:rsidP="00097907">
      <w:pPr>
        <w:pStyle w:val="broodtekst"/>
      </w:pPr>
      <w:r>
        <w:t xml:space="preserve">Gebleken is dat het kader van 4.17a, zoals dat is ingevoegd in het Vb </w:t>
      </w:r>
      <w:r w:rsidR="00FB015F">
        <w:t xml:space="preserve">2000 </w:t>
      </w:r>
      <w:r>
        <w:t xml:space="preserve">bij het besluit van 30 mei 2011, </w:t>
      </w:r>
      <w:r w:rsidR="00324736">
        <w:t>wat het toezicht in treinen betreft</w:t>
      </w:r>
      <w:r w:rsidR="00223BD6">
        <w:t xml:space="preserve"> </w:t>
      </w:r>
      <w:r w:rsidR="00097907">
        <w:t xml:space="preserve">onvoldoende flexibel is om het mobiel toezicht </w:t>
      </w:r>
      <w:r w:rsidR="00E60A4C">
        <w:t>effectief</w:t>
      </w:r>
      <w:r w:rsidR="00097907">
        <w:t xml:space="preserve"> te kunnen uitvoeren.</w:t>
      </w:r>
      <w:r w:rsidR="005C3DEA">
        <w:t xml:space="preserve"> </w:t>
      </w:r>
      <w:r w:rsidR="00097907">
        <w:t>D</w:t>
      </w:r>
      <w:r w:rsidR="00097907" w:rsidRPr="00ED0964">
        <w:t>e</w:t>
      </w:r>
      <w:r w:rsidR="00097907">
        <w:t xml:space="preserve"> </w:t>
      </w:r>
      <w:r w:rsidR="00097907" w:rsidRPr="00ED0964">
        <w:t>Commissie Integraal Toezicht Terugkeer</w:t>
      </w:r>
      <w:r w:rsidR="00097907">
        <w:t xml:space="preserve"> heeft in de jaarverslagen van 2011 en 2012</w:t>
      </w:r>
      <w:r w:rsidR="00097907">
        <w:rPr>
          <w:rStyle w:val="Voetnootmarkering"/>
        </w:rPr>
        <w:footnoteReference w:id="7"/>
      </w:r>
      <w:r w:rsidR="00097907">
        <w:t xml:space="preserve"> aangegeven het wenselijk te vinden dat de feitelijke mogelijkheden van het MTV, met name waar het gaat over tijd en plaats, in overleg met de EU/Schengen partners verder worden uitgebreid. De commissie constateert </w:t>
      </w:r>
      <w:r w:rsidR="00224544">
        <w:t xml:space="preserve">voorts </w:t>
      </w:r>
      <w:r w:rsidR="00097907">
        <w:t xml:space="preserve">dat het voor de medewerkers van de </w:t>
      </w:r>
      <w:r w:rsidR="00BC0604">
        <w:t>Kmar</w:t>
      </w:r>
      <w:r w:rsidR="00097907">
        <w:t xml:space="preserve"> een zware opgave is om het MTV op basis van de hiervoor genoemde bepaling in het Vb 2000 effectief uit te voeren en vraagt zich af of door de wijziging van het Vb 2000 bij besluit van 30 mei 2011 de uitvoering niet meer beperkingen zijn opgelegd dan door de jurisprudentie wordt geëist.</w:t>
      </w:r>
    </w:p>
    <w:p w:rsidR="00097907" w:rsidRDefault="00097907">
      <w:pPr>
        <w:pStyle w:val="broodtekst"/>
      </w:pPr>
    </w:p>
    <w:p w:rsidR="00B0346D" w:rsidRDefault="00432B52">
      <w:pPr>
        <w:pStyle w:val="broodtekst"/>
      </w:pPr>
      <w:r>
        <w:t>Door de beperking op het aantal coupes en op het maximum aantal treinen anders in te vullen, kan de K</w:t>
      </w:r>
      <w:r w:rsidR="0040710A">
        <w:t>m</w:t>
      </w:r>
      <w:r>
        <w:t>ar de MTV-controles effectiever en efficiënter uitvoeren</w:t>
      </w:r>
      <w:r w:rsidR="00011619">
        <w:t xml:space="preserve"> en zal</w:t>
      </w:r>
      <w:r w:rsidR="00E83997">
        <w:t xml:space="preserve"> </w:t>
      </w:r>
      <w:r w:rsidR="00223BD6">
        <w:t>illegaal verblijf</w:t>
      </w:r>
      <w:r w:rsidR="0040710A">
        <w:t xml:space="preserve"> </w:t>
      </w:r>
      <w:r>
        <w:t>beter worden tegengegaan.</w:t>
      </w:r>
      <w:r w:rsidR="00E83997">
        <w:t xml:space="preserve"> </w:t>
      </w:r>
      <w:r w:rsidR="00B0346D">
        <w:t xml:space="preserve">In een brief </w:t>
      </w:r>
      <w:r w:rsidR="00E61D9A">
        <w:t xml:space="preserve">aan de Tweede Kamer </w:t>
      </w:r>
      <w:r w:rsidR="00B0346D">
        <w:t>van 4 april 2013</w:t>
      </w:r>
      <w:r w:rsidR="00E61D9A">
        <w:rPr>
          <w:rStyle w:val="Voetnootmarkering"/>
        </w:rPr>
        <w:footnoteReference w:id="8"/>
      </w:r>
      <w:r w:rsidR="008C1EDF">
        <w:t xml:space="preserve"> heb ik</w:t>
      </w:r>
      <w:r w:rsidR="00E60A4C">
        <w:t xml:space="preserve"> </w:t>
      </w:r>
      <w:r w:rsidR="00D624EB">
        <w:t xml:space="preserve">aangegeven </w:t>
      </w:r>
      <w:r w:rsidR="008E1B89">
        <w:t xml:space="preserve">dat </w:t>
      </w:r>
      <w:r w:rsidR="00D624EB">
        <w:t xml:space="preserve">de </w:t>
      </w:r>
      <w:r w:rsidR="00BC0604">
        <w:t>Kmar</w:t>
      </w:r>
      <w:r w:rsidR="00D624EB">
        <w:t xml:space="preserve"> heeft laten weten dat met name de behoefte bestaat om het juridisch kader </w:t>
      </w:r>
      <w:r w:rsidR="008C1EDF">
        <w:t xml:space="preserve">voor </w:t>
      </w:r>
      <w:r w:rsidR="00D624EB">
        <w:t xml:space="preserve">de controle </w:t>
      </w:r>
      <w:r w:rsidR="008C1EDF">
        <w:t>op</w:t>
      </w:r>
      <w:r w:rsidR="00D624EB">
        <w:t xml:space="preserve"> treinen opnieuw te bekijken en dat zal </w:t>
      </w:r>
      <w:r w:rsidR="00207951">
        <w:t xml:space="preserve">worden </w:t>
      </w:r>
      <w:r w:rsidR="00D624EB">
        <w:lastRenderedPageBreak/>
        <w:t xml:space="preserve">bezien </w:t>
      </w:r>
      <w:r w:rsidR="00207951">
        <w:t>of de flexibiliteit en effectiviteit van de controles kan worden verhoogd zonder dat afbreuk wordt gedaan aan de Schengenconformiteit</w:t>
      </w:r>
      <w:r w:rsidR="008E1B89">
        <w:t xml:space="preserve">. </w:t>
      </w:r>
      <w:r w:rsidR="00B0346D">
        <w:t xml:space="preserve">Bij de </w:t>
      </w:r>
      <w:r w:rsidR="00B0346D" w:rsidRPr="00CF5065">
        <w:t>behandeling van de begroting van het Ministerie van Veiligheid en Justitie op donderdag 21 november 2013</w:t>
      </w:r>
      <w:r w:rsidR="00B0346D">
        <w:rPr>
          <w:rStyle w:val="Voetnootmarkering"/>
        </w:rPr>
        <w:footnoteReference w:id="9"/>
      </w:r>
      <w:r w:rsidR="008E1B89">
        <w:t xml:space="preserve"> heb ik</w:t>
      </w:r>
      <w:r w:rsidR="008C1EDF">
        <w:t xml:space="preserve"> </w:t>
      </w:r>
      <w:r w:rsidR="008E1B89">
        <w:t xml:space="preserve">aangegeven mogelijkheden te zien om artikel 4.17a van het Vb 2000 </w:t>
      </w:r>
      <w:r w:rsidR="00D624EB">
        <w:t xml:space="preserve">zo </w:t>
      </w:r>
      <w:r w:rsidR="008E1B89">
        <w:t>aan te passen dat kan worden gekomen tot een verruiming van de MTV-controles.</w:t>
      </w:r>
      <w:r w:rsidR="00445F3E">
        <w:t xml:space="preserve"> In dit besluit wordt de</w:t>
      </w:r>
      <w:r w:rsidR="00097907">
        <w:t>ze</w:t>
      </w:r>
      <w:r w:rsidR="00445F3E">
        <w:t xml:space="preserve"> toezegging gestand gedaan.</w:t>
      </w:r>
    </w:p>
    <w:p w:rsidR="008C1EDF" w:rsidRDefault="008C1EDF">
      <w:pPr>
        <w:pStyle w:val="broodtekst"/>
      </w:pPr>
    </w:p>
    <w:p w:rsidR="00A73FFD" w:rsidRDefault="000C2DBF">
      <w:pPr>
        <w:pStyle w:val="broodtekst"/>
        <w:rPr>
          <w:b/>
        </w:rPr>
      </w:pPr>
      <w:r>
        <w:rPr>
          <w:b/>
        </w:rPr>
        <w:t>2.</w:t>
      </w:r>
      <w:r>
        <w:rPr>
          <w:b/>
        </w:rPr>
        <w:tab/>
      </w:r>
      <w:r>
        <w:rPr>
          <w:b/>
        </w:rPr>
        <w:tab/>
      </w:r>
      <w:r w:rsidR="00A73FFD" w:rsidRPr="00A73FFD">
        <w:rPr>
          <w:b/>
        </w:rPr>
        <w:t>Aanpassingen</w:t>
      </w:r>
    </w:p>
    <w:p w:rsidR="000C2DBF" w:rsidRDefault="000C2DBF">
      <w:pPr>
        <w:pStyle w:val="broodtekst"/>
        <w:rPr>
          <w:b/>
        </w:rPr>
      </w:pPr>
    </w:p>
    <w:p w:rsidR="000C2DBF" w:rsidRDefault="000C2DBF">
      <w:pPr>
        <w:pStyle w:val="broodtekst"/>
        <w:rPr>
          <w:b/>
        </w:rPr>
      </w:pPr>
      <w:r>
        <w:rPr>
          <w:b/>
        </w:rPr>
        <w:t>2.1</w:t>
      </w:r>
      <w:r>
        <w:rPr>
          <w:b/>
        </w:rPr>
        <w:tab/>
        <w:t>Meer flexibiliteit en effectiviteit bij de controles op treinen</w:t>
      </w:r>
    </w:p>
    <w:p w:rsidR="00CA3995" w:rsidRPr="00A73FFD" w:rsidRDefault="00CA3995">
      <w:pPr>
        <w:pStyle w:val="broodtekst"/>
        <w:rPr>
          <w:b/>
        </w:rPr>
      </w:pPr>
    </w:p>
    <w:p w:rsidR="00696AFB" w:rsidRDefault="00200D84" w:rsidP="00141344">
      <w:pPr>
        <w:pStyle w:val="broodtekst"/>
      </w:pPr>
      <w:r>
        <w:t xml:space="preserve">Het onderhavige besluit brengt geen wijziging in het uitgangspunt dat het </w:t>
      </w:r>
      <w:r w:rsidR="009A1F1C">
        <w:t>mobiel toezicht beperkt blijft tot de grensstreek</w:t>
      </w:r>
      <w:r>
        <w:t xml:space="preserve">. </w:t>
      </w:r>
      <w:r w:rsidR="00141344">
        <w:t xml:space="preserve">Ongewijzigd blijft </w:t>
      </w:r>
      <w:r>
        <w:t xml:space="preserve">dan ook </w:t>
      </w:r>
      <w:r w:rsidR="00141344">
        <w:t xml:space="preserve">dat in treinen uitsluitend wordt gecontroleerd </w:t>
      </w:r>
      <w:r w:rsidR="000E6193">
        <w:t>gedurende ten hoogste dertig minuten na het passeren van de gemeenschappelijke landgrens met België of Duitsland of, als binnen deze periode het tweede station na het passeren van de grens nog niet is bereikt, tot uiterlijk het tweede station na het passe</w:t>
      </w:r>
      <w:r w:rsidR="00141344">
        <w:t xml:space="preserve">ren van de grens (artikel 4.17a, eerste lid, aanhef en onder b, van het Vb 2000). Wel wordt </w:t>
      </w:r>
      <w:r w:rsidR="0094557B">
        <w:t>mogelijk gemaakt dat meer treinen en meer coupés worden gecontroleerd. A</w:t>
      </w:r>
      <w:r w:rsidR="00445F3E">
        <w:t>rtikel 4.17a, vierde lid</w:t>
      </w:r>
      <w:r w:rsidR="00FB015F">
        <w:t>,</w:t>
      </w:r>
      <w:r w:rsidR="00445F3E">
        <w:t xml:space="preserve"> </w:t>
      </w:r>
      <w:r w:rsidR="0094557B">
        <w:t xml:space="preserve">wordt </w:t>
      </w:r>
      <w:r w:rsidR="00445F3E">
        <w:t xml:space="preserve">in die zin gewijzigd dat </w:t>
      </w:r>
      <w:r w:rsidR="00141344">
        <w:t>h</w:t>
      </w:r>
      <w:r w:rsidR="00445F3E" w:rsidRPr="00445F3E">
        <w:t>et toezicht</w:t>
      </w:r>
      <w:r w:rsidR="00141344">
        <w:t xml:space="preserve"> p</w:t>
      </w:r>
      <w:r w:rsidR="00445F3E" w:rsidRPr="00445F3E">
        <w:t xml:space="preserve">er dag </w:t>
      </w:r>
      <w:r w:rsidR="00141344">
        <w:t xml:space="preserve">niet langer </w:t>
      </w:r>
      <w:r w:rsidR="00445F3E" w:rsidRPr="00445F3E">
        <w:t>in ten hoogste twee treinen</w:t>
      </w:r>
      <w:r w:rsidR="00141344">
        <w:t xml:space="preserve"> maar in ten hoogste drie treinen</w:t>
      </w:r>
      <w:r w:rsidR="00445F3E" w:rsidRPr="00445F3E">
        <w:t xml:space="preserve"> per traject</w:t>
      </w:r>
      <w:r w:rsidR="00141344">
        <w:t xml:space="preserve"> wordt uitgevoerd. </w:t>
      </w:r>
      <w:r w:rsidR="0094557B">
        <w:t>Voorts wordt in deze bepaling geregeld dat h</w:t>
      </w:r>
      <w:r w:rsidR="00141344">
        <w:t xml:space="preserve">et totaal aantal per dag </w:t>
      </w:r>
      <w:r w:rsidR="001039B9">
        <w:t xml:space="preserve">in Nederland </w:t>
      </w:r>
      <w:r w:rsidR="00141344">
        <w:t xml:space="preserve">te controleren treinen wordt verhoogd van </w:t>
      </w:r>
      <w:r w:rsidR="001039B9">
        <w:t xml:space="preserve">ten hoogste </w:t>
      </w:r>
      <w:r w:rsidR="00141344">
        <w:t xml:space="preserve">acht naar </w:t>
      </w:r>
      <w:r w:rsidR="001039B9">
        <w:t xml:space="preserve">ten hoogste </w:t>
      </w:r>
      <w:r w:rsidR="00141344">
        <w:t>twintig</w:t>
      </w:r>
      <w:r w:rsidR="0094557B">
        <w:t xml:space="preserve"> en dat h</w:t>
      </w:r>
      <w:r w:rsidR="00141344">
        <w:t xml:space="preserve">et aantal treincoupés dat per trein kan worden gecontroleerd </w:t>
      </w:r>
      <w:r w:rsidR="006D3943">
        <w:t xml:space="preserve">wordt verhoogd van </w:t>
      </w:r>
      <w:r w:rsidR="00141344">
        <w:t xml:space="preserve">ten hoogste twee naar </w:t>
      </w:r>
      <w:r w:rsidR="006D3943">
        <w:t xml:space="preserve">ten hoogste </w:t>
      </w:r>
      <w:r w:rsidR="00141344">
        <w:t>vier.</w:t>
      </w:r>
      <w:r w:rsidR="006D3943">
        <w:t xml:space="preserve"> </w:t>
      </w:r>
      <w:r w:rsidR="0054530E">
        <w:t>O</w:t>
      </w:r>
      <w:r w:rsidR="0054530E" w:rsidRPr="00A1299D">
        <w:t>nder treincoupé wordt begrepen een deel van een trein dat tussen twee buitendeuren ligt.</w:t>
      </w:r>
    </w:p>
    <w:p w:rsidR="00A1299D" w:rsidRDefault="00A1299D" w:rsidP="00141344">
      <w:pPr>
        <w:pStyle w:val="broodtekst"/>
      </w:pPr>
    </w:p>
    <w:p w:rsidR="004F1194" w:rsidRDefault="00324736" w:rsidP="00A1299D">
      <w:pPr>
        <w:pStyle w:val="broodtekst"/>
      </w:pPr>
      <w:r>
        <w:t>Gebleken is dat de huidige criteria voor het toezicht in de treinen in de weg staan aan een voldoende effectief toezicht.</w:t>
      </w:r>
      <w:r w:rsidR="002C0003">
        <w:t xml:space="preserve"> </w:t>
      </w:r>
      <w:r>
        <w:t>De effectiviteit van het mobiele toezicht in treinen kan worden vergroot door</w:t>
      </w:r>
      <w:r w:rsidR="0054530E">
        <w:t xml:space="preserve"> de </w:t>
      </w:r>
      <w:r w:rsidR="00BC0604">
        <w:t>Kmar</w:t>
      </w:r>
      <w:r w:rsidR="0054530E">
        <w:t xml:space="preserve"> meer ruimte </w:t>
      </w:r>
      <w:r>
        <w:t xml:space="preserve">te bieden </w:t>
      </w:r>
      <w:r w:rsidR="0054530E">
        <w:t xml:space="preserve">om flexibeler </w:t>
      </w:r>
      <w:r w:rsidR="00EB4AE8">
        <w:t xml:space="preserve">en informatiegestuurd </w:t>
      </w:r>
      <w:r w:rsidR="0054530E">
        <w:t xml:space="preserve">met de capaciteit en het werkaanbod op een dag om te gaan en de </w:t>
      </w:r>
      <w:r w:rsidR="002C0003">
        <w:t>inzet optimaal te plannen.</w:t>
      </w:r>
      <w:r w:rsidR="009D7322">
        <w:t xml:space="preserve"> Het standpunt van de </w:t>
      </w:r>
      <w:r w:rsidR="00E25C1B" w:rsidRPr="00E25C1B">
        <w:t>Adviescommissie voor Vreemdelingenzaken (ACVZ)</w:t>
      </w:r>
      <w:r w:rsidR="00E25C1B">
        <w:t xml:space="preserve"> </w:t>
      </w:r>
      <w:r w:rsidR="009D7322">
        <w:t xml:space="preserve">in haar consultatieadvies </w:t>
      </w:r>
      <w:r w:rsidR="009D7322" w:rsidRPr="009D7322">
        <w:t xml:space="preserve">dat </w:t>
      </w:r>
      <w:r w:rsidR="009D7322">
        <w:t xml:space="preserve">de noodzaak van een verruiming van het toezicht op treinen niet is gebleken, deel ik niet. </w:t>
      </w:r>
      <w:r w:rsidR="00EB4AE8" w:rsidRPr="00EB4AE8">
        <w:t>Door na grensoverschrijding illegaal verblijvende</w:t>
      </w:r>
      <w:r w:rsidR="007861F3">
        <w:t xml:space="preserve"> </w:t>
      </w:r>
      <w:r w:rsidR="00EB4AE8" w:rsidRPr="00EB4AE8">
        <w:t xml:space="preserve">vreemdelingen wordt aantoonbaar gebruik gemaakt van internationale treinen als primair vervoermiddel om Nederland in te reizen, enerzijds omdat het een goedkope wijze van vervoer is en anderzijds omdat deze wijze van vervoer een relatief gering risico met zich meebrengt in situaties waarin sprake is van mensensmokkel. </w:t>
      </w:r>
      <w:r w:rsidR="009925F4">
        <w:t>Op grond van</w:t>
      </w:r>
      <w:r w:rsidR="00EB4AE8" w:rsidRPr="00EB4AE8">
        <w:t xml:space="preserve"> thans beschikbare informatie over de recentelijke verhoogde instroom van vreemdelingen </w:t>
      </w:r>
      <w:r w:rsidR="00CC042D">
        <w:t xml:space="preserve">uit Eritrea </w:t>
      </w:r>
      <w:r w:rsidR="009925F4">
        <w:t>bestaat het ernstige vermoeden</w:t>
      </w:r>
      <w:r w:rsidR="00EB4AE8" w:rsidRPr="00EB4AE8">
        <w:t xml:space="preserve"> dat een georganiseerd verband zich bezig houdt met de smokkel van mensen richting Nederland waarbij aantoonbaar van dit vervoermiddel gebruik wordt gemaakt.</w:t>
      </w:r>
      <w:r w:rsidR="00EB4AE8">
        <w:t xml:space="preserve"> Bovendien anticiperen vreemdelingen op de controles van de Kmar door zich verspreid in de trein op te houden of door zich tijdens de controle te verplaatsen.</w:t>
      </w:r>
      <w:r w:rsidR="004F1194">
        <w:t xml:space="preserve"> </w:t>
      </w:r>
      <w:r w:rsidR="00EB4AE8">
        <w:t xml:space="preserve">Door de </w:t>
      </w:r>
      <w:r w:rsidR="009925F4">
        <w:t>voorheen geldende</w:t>
      </w:r>
      <w:r w:rsidR="00EB4AE8">
        <w:t xml:space="preserve"> beperkingen </w:t>
      </w:r>
      <w:r w:rsidR="009925F4">
        <w:t>was</w:t>
      </w:r>
      <w:r w:rsidR="00EB4AE8">
        <w:t xml:space="preserve"> het voor de betrokkene</w:t>
      </w:r>
      <w:r w:rsidR="000A54FD">
        <w:t>n</w:t>
      </w:r>
      <w:r w:rsidR="00EB4AE8">
        <w:t xml:space="preserve"> daarom eenvoudig om zich op die wijze aan het toezicht te onttrekken. </w:t>
      </w:r>
      <w:r w:rsidR="004F1194">
        <w:t>Door de uitbreiding van de controlemogelijkheden kan hier beter tegen worden opgetreden.</w:t>
      </w:r>
    </w:p>
    <w:p w:rsidR="004F1194" w:rsidRDefault="004F1194" w:rsidP="00A1299D">
      <w:pPr>
        <w:pStyle w:val="broodtekst"/>
      </w:pPr>
    </w:p>
    <w:p w:rsidR="0013029E" w:rsidRDefault="00046A7B">
      <w:pPr>
        <w:pStyle w:val="broodtekst"/>
      </w:pPr>
      <w:r>
        <w:t>Hoewel de voorgestelde wijzigin</w:t>
      </w:r>
      <w:r w:rsidR="002321A2">
        <w:t xml:space="preserve">gen leiden tot een toename </w:t>
      </w:r>
      <w:r w:rsidR="0013029E">
        <w:t xml:space="preserve">van </w:t>
      </w:r>
      <w:r w:rsidR="002321A2">
        <w:t>de controle</w:t>
      </w:r>
      <w:r w:rsidR="00AD4380">
        <w:t>-</w:t>
      </w:r>
      <w:r w:rsidR="002321A2">
        <w:t xml:space="preserve">mogelijkheden </w:t>
      </w:r>
      <w:r w:rsidR="00324736">
        <w:t>zal</w:t>
      </w:r>
      <w:r w:rsidR="00F53A1E">
        <w:t xml:space="preserve"> </w:t>
      </w:r>
      <w:r w:rsidR="0013029E">
        <w:t xml:space="preserve">het toezicht </w:t>
      </w:r>
      <w:r w:rsidR="00324736">
        <w:t xml:space="preserve">daardoor </w:t>
      </w:r>
      <w:r w:rsidR="0013029E">
        <w:t xml:space="preserve">niet </w:t>
      </w:r>
      <w:r w:rsidR="002321A2">
        <w:t>een</w:t>
      </w:r>
      <w:r w:rsidR="002321A2" w:rsidRPr="002321A2">
        <w:t>zelfde effect als grenscontroles</w:t>
      </w:r>
      <w:r w:rsidR="0013029E">
        <w:t xml:space="preserve"> hebben</w:t>
      </w:r>
      <w:r w:rsidR="00287853">
        <w:t>.</w:t>
      </w:r>
      <w:r w:rsidR="004F7B1D">
        <w:t xml:space="preserve"> </w:t>
      </w:r>
      <w:r>
        <w:lastRenderedPageBreak/>
        <w:t xml:space="preserve">Momenteel komen er gemiddeld 160 treinen per dag Nederland binnen. Waar voorheen </w:t>
      </w:r>
      <w:r w:rsidR="00586690">
        <w:t xml:space="preserve">maximaal </w:t>
      </w:r>
      <w:r>
        <w:t xml:space="preserve">5% van dat aantal werd gecontroleerd, zal in de toekomst </w:t>
      </w:r>
      <w:r w:rsidR="00586690">
        <w:t xml:space="preserve">maximaal </w:t>
      </w:r>
      <w:r>
        <w:t>12</w:t>
      </w:r>
      <w:r w:rsidR="003A2FA0">
        <w:t xml:space="preserve"> á 13</w:t>
      </w:r>
      <w:r>
        <w:t xml:space="preserve">% worden gecontroleerd. Ook na invoering van de onderhavige wijziging van het besluit zal de overgrote meerderheid van de treinen </w:t>
      </w:r>
      <w:r w:rsidR="00AD4380">
        <w:t xml:space="preserve">dus nog steeds </w:t>
      </w:r>
      <w:r>
        <w:t>niet worden gecontroleerd.</w:t>
      </w:r>
      <w:r w:rsidR="00586690">
        <w:t xml:space="preserve"> </w:t>
      </w:r>
    </w:p>
    <w:p w:rsidR="0013029E" w:rsidRDefault="0013029E">
      <w:pPr>
        <w:pStyle w:val="broodtekst"/>
      </w:pPr>
    </w:p>
    <w:p w:rsidR="008D57FD" w:rsidRDefault="00586690">
      <w:pPr>
        <w:pStyle w:val="broodtekst"/>
      </w:pPr>
      <w:r>
        <w:t xml:space="preserve">Bovendien wordt door de in artikel 4.17a, vierde lid, gegeven regels gewaarborgd dat de wijze waarop deze controle wordt uitgevoerd verschilt van de systematische controles van personen aan de buitengrenzen. </w:t>
      </w:r>
      <w:r w:rsidR="000119B5">
        <w:t xml:space="preserve">Zoals </w:t>
      </w:r>
      <w:r w:rsidR="000119B5" w:rsidRPr="000119B5">
        <w:t xml:space="preserve">in de nota van toelichting bij het besluit van 30 mei 2011 </w:t>
      </w:r>
      <w:r w:rsidR="003E37EE">
        <w:t>is</w:t>
      </w:r>
      <w:r w:rsidR="000119B5" w:rsidRPr="000119B5">
        <w:t xml:space="preserve"> aangegeven is </w:t>
      </w:r>
      <w:r w:rsidR="000119B5">
        <w:t xml:space="preserve">het niet de bedoeling dat een gehele trein wordt gecontroleerd omdat de </w:t>
      </w:r>
      <w:r w:rsidR="000119B5" w:rsidRPr="000119B5">
        <w:t xml:space="preserve">controle dan te zeer </w:t>
      </w:r>
      <w:r w:rsidR="003E37EE">
        <w:t>lijkt</w:t>
      </w:r>
      <w:r w:rsidR="000119B5" w:rsidRPr="000119B5">
        <w:t xml:space="preserve"> op een grenscontrole. </w:t>
      </w:r>
      <w:r w:rsidR="000119B5">
        <w:t xml:space="preserve">Hoewel de tijdspanne dat kan worden gecontroleerd, gelet op het bepaalde in het eerste lid, aanhef en onder b beperkt is, bestaat er door de verhoging van het aantal treincoupés een grotere kans dat </w:t>
      </w:r>
      <w:r w:rsidR="009C5E71">
        <w:t xml:space="preserve">de mogelijkheid ontstaat dat </w:t>
      </w:r>
      <w:r w:rsidR="000119B5">
        <w:t xml:space="preserve">een </w:t>
      </w:r>
      <w:r w:rsidR="009C5E71">
        <w:t xml:space="preserve">hele </w:t>
      </w:r>
      <w:r w:rsidR="000119B5">
        <w:t>trein</w:t>
      </w:r>
      <w:r w:rsidR="009C5E71">
        <w:t xml:space="preserve">, bestaande uit </w:t>
      </w:r>
      <w:r w:rsidR="000119B5">
        <w:t>vier of minder coupés</w:t>
      </w:r>
      <w:r w:rsidR="009C5E71">
        <w:t xml:space="preserve">, kan worden gecontroleerd. </w:t>
      </w:r>
      <w:r w:rsidR="000119B5" w:rsidRPr="000119B5">
        <w:t xml:space="preserve">Zekerheidshalve is </w:t>
      </w:r>
      <w:r w:rsidR="0013029E">
        <w:t xml:space="preserve">daarom </w:t>
      </w:r>
      <w:r w:rsidR="000119B5">
        <w:t>v</w:t>
      </w:r>
      <w:r w:rsidR="000119B5" w:rsidRPr="000119B5">
        <w:t xml:space="preserve">an de </w:t>
      </w:r>
      <w:r w:rsidR="0013029E">
        <w:t>gelegenheid gebruikgemaakt om i</w:t>
      </w:r>
      <w:r w:rsidR="000119B5" w:rsidRPr="000119B5">
        <w:t xml:space="preserve">n de tekst van het vierde lid uitdrukkelijk </w:t>
      </w:r>
      <w:r w:rsidR="000119B5">
        <w:t xml:space="preserve">neer te leggen </w:t>
      </w:r>
      <w:r w:rsidR="000119B5" w:rsidRPr="000119B5">
        <w:t>dat het toezicht plaatsvindt in een deel van de trein</w:t>
      </w:r>
      <w:r w:rsidR="00AD4380">
        <w:t>, en per trein in t</w:t>
      </w:r>
      <w:r w:rsidR="000119B5">
        <w:t xml:space="preserve">en hoogste vier treincoupés. </w:t>
      </w:r>
      <w:r w:rsidR="001E66E5">
        <w:t xml:space="preserve">Als een trein bestaat uit vier </w:t>
      </w:r>
      <w:r w:rsidR="000119B5">
        <w:t xml:space="preserve">of minder </w:t>
      </w:r>
      <w:r w:rsidR="001E66E5">
        <w:t xml:space="preserve">coupés dan zullen deze </w:t>
      </w:r>
      <w:r w:rsidR="0013029E">
        <w:t>dus</w:t>
      </w:r>
      <w:r w:rsidR="001E66E5">
        <w:t xml:space="preserve"> nooit allemaal worden gecontroleerd. </w:t>
      </w:r>
      <w:r w:rsidR="00680327">
        <w:t xml:space="preserve">Indien controle </w:t>
      </w:r>
      <w:r w:rsidR="009C5E71">
        <w:t xml:space="preserve">op een trein </w:t>
      </w:r>
      <w:r w:rsidR="00680327">
        <w:t>leidt tot staande</w:t>
      </w:r>
      <w:r w:rsidR="0008126A">
        <w:t xml:space="preserve">houding, zal de </w:t>
      </w:r>
      <w:r w:rsidR="00BC0604">
        <w:t>Kmar</w:t>
      </w:r>
      <w:r w:rsidR="0008126A">
        <w:t xml:space="preserve"> in het proces</w:t>
      </w:r>
      <w:r w:rsidR="0097225E">
        <w:t>-</w:t>
      </w:r>
      <w:r w:rsidR="0008126A">
        <w:t>verbaal van staandehouding vastleggen dat deze heeft plaatsgevonden tijdens een controle in een gedeelte van de trein.</w:t>
      </w:r>
    </w:p>
    <w:p w:rsidR="00AD1135" w:rsidRDefault="00AD1135">
      <w:pPr>
        <w:pStyle w:val="broodtekst"/>
      </w:pPr>
    </w:p>
    <w:p w:rsidR="00CD4E00" w:rsidRDefault="00AD1135">
      <w:pPr>
        <w:pStyle w:val="broodtekst"/>
      </w:pPr>
      <w:r>
        <w:t>Voorts is van belang dat op de meeste trajecten per dag tussen de</w:t>
      </w:r>
      <w:r w:rsidR="00E11DAC">
        <w:t xml:space="preserve"> zes en de 33 treinen rijden. Omdat per dag ten hoogste drie treinen per traject worden gecontroleerd </w:t>
      </w:r>
      <w:r>
        <w:t xml:space="preserve">zal </w:t>
      </w:r>
      <w:r w:rsidR="0013029E">
        <w:t xml:space="preserve">doorgaans </w:t>
      </w:r>
      <w:r w:rsidR="009C5E71">
        <w:t xml:space="preserve">dus </w:t>
      </w:r>
      <w:r>
        <w:t xml:space="preserve">geen sprake zijn van een situatie waarin op een dag alle treinen op een bepaald traject worden gecontroleerd. </w:t>
      </w:r>
    </w:p>
    <w:p w:rsidR="00B24C4D" w:rsidRDefault="00B24C4D">
      <w:pPr>
        <w:pStyle w:val="broodtekst"/>
      </w:pPr>
    </w:p>
    <w:p w:rsidR="008F7046" w:rsidRPr="007E640C" w:rsidRDefault="008D57FD">
      <w:pPr>
        <w:pStyle w:val="broodtekst"/>
        <w:rPr>
          <w:b/>
        </w:rPr>
      </w:pPr>
      <w:r w:rsidRPr="007E640C">
        <w:rPr>
          <w:b/>
        </w:rPr>
        <w:t>2.2</w:t>
      </w:r>
      <w:r w:rsidRPr="007E640C">
        <w:rPr>
          <w:b/>
        </w:rPr>
        <w:tab/>
        <w:t>Tijdelijke verruiming in uitzonderingssituaties</w:t>
      </w:r>
    </w:p>
    <w:p w:rsidR="00F5298C" w:rsidRPr="007E640C" w:rsidRDefault="00F5298C">
      <w:pPr>
        <w:pStyle w:val="broodtekst"/>
      </w:pPr>
    </w:p>
    <w:p w:rsidR="008F7770" w:rsidRDefault="008F7770" w:rsidP="008F7770">
      <w:pPr>
        <w:pStyle w:val="broodtekst"/>
      </w:pPr>
      <w:r w:rsidRPr="007E640C">
        <w:t>In de praktijk is met een zeker</w:t>
      </w:r>
      <w:r w:rsidR="007F50EB" w:rsidRPr="007E640C">
        <w:t>e</w:t>
      </w:r>
      <w:r w:rsidRPr="007E640C">
        <w:t xml:space="preserve"> regelmaat sprake van situatie</w:t>
      </w:r>
      <w:r w:rsidR="001F5B70" w:rsidRPr="007E640C">
        <w:t>s</w:t>
      </w:r>
      <w:r w:rsidRPr="007E640C">
        <w:t xml:space="preserve"> waarin</w:t>
      </w:r>
      <w:r w:rsidR="00295696" w:rsidRPr="007E640C">
        <w:t xml:space="preserve"> een meer dan gebruikelijk</w:t>
      </w:r>
      <w:r w:rsidR="001F5B70" w:rsidRPr="007E640C">
        <w:t xml:space="preserve"> aantal n</w:t>
      </w:r>
      <w:r w:rsidR="00295696" w:rsidRPr="007E640C">
        <w:t xml:space="preserve">a grensoverschrijding illegaal verblijvende personen </w:t>
      </w:r>
      <w:r w:rsidR="001F5B70" w:rsidRPr="007E640C">
        <w:t xml:space="preserve">Nederland binnenkomt </w:t>
      </w:r>
      <w:r w:rsidR="00295696" w:rsidRPr="007E640C">
        <w:t>of</w:t>
      </w:r>
      <w:r w:rsidR="007466A8" w:rsidRPr="007E640C">
        <w:t xml:space="preserve"> </w:t>
      </w:r>
      <w:r w:rsidRPr="007E640C">
        <w:t xml:space="preserve">bij de </w:t>
      </w:r>
      <w:r w:rsidR="00BC0604" w:rsidRPr="007E640C">
        <w:t>Kmar</w:t>
      </w:r>
      <w:r w:rsidRPr="007E640C">
        <w:t xml:space="preserve"> concrete informatie voorhanden </w:t>
      </w:r>
      <w:r w:rsidR="003A2FA0">
        <w:t xml:space="preserve">is </w:t>
      </w:r>
      <w:r w:rsidRPr="007E640C">
        <w:t>dat</w:t>
      </w:r>
      <w:r w:rsidR="001F5B70" w:rsidRPr="007E640C">
        <w:t xml:space="preserve"> dit</w:t>
      </w:r>
      <w:r w:rsidRPr="007E640C">
        <w:t xml:space="preserve"> op korte termijn kan worden verwacht.</w:t>
      </w:r>
      <w:r w:rsidR="007B7E59" w:rsidRPr="007E640C">
        <w:t xml:space="preserve"> </w:t>
      </w:r>
      <w:r w:rsidR="007E640C" w:rsidRPr="007E640C">
        <w:t xml:space="preserve">Daarbij kan bijvoorbeeld worden gedacht aan de </w:t>
      </w:r>
      <w:r w:rsidR="007B7E59" w:rsidRPr="007E640C">
        <w:t xml:space="preserve">verhoogde instroom </w:t>
      </w:r>
      <w:r w:rsidR="0097225E" w:rsidRPr="007E640C">
        <w:t>van Tunesische vreemdelingen die</w:t>
      </w:r>
      <w:r w:rsidR="007E640C" w:rsidRPr="007E640C">
        <w:t>,</w:t>
      </w:r>
      <w:r w:rsidR="0097225E" w:rsidRPr="007E640C">
        <w:t xml:space="preserve"> </w:t>
      </w:r>
      <w:r w:rsidR="007E640C" w:rsidRPr="007E640C">
        <w:t xml:space="preserve">volgend op de Arabische lente in 2012, </w:t>
      </w:r>
      <w:r w:rsidR="0097225E" w:rsidRPr="007E640C">
        <w:t>via Italië Europa zijn binnengekomen</w:t>
      </w:r>
      <w:r w:rsidR="007B7E59" w:rsidRPr="007E640C">
        <w:t>.</w:t>
      </w:r>
      <w:r w:rsidRPr="007E640C">
        <w:t xml:space="preserve"> </w:t>
      </w:r>
      <w:r w:rsidR="00011619">
        <w:t xml:space="preserve">Een verhoogde instroom die al plaatsvindt, zou bijvoorbeeld kunnen blijken uit eigen informatie van de Kmar of cijfers van de IND </w:t>
      </w:r>
      <w:r w:rsidR="00011619" w:rsidRPr="00011619">
        <w:t>(asieltrendrapportage)</w:t>
      </w:r>
      <w:r w:rsidR="00011619">
        <w:t>. Informatie dat dit op korte termijn kan worden verwacht, k</w:t>
      </w:r>
      <w:r w:rsidRPr="007E640C">
        <w:t>an bijvoorbeeld afkomstig zijn van het Europees Agentschap voor het beheer van de operationele samenwerking aan de buitengrenzen van de lidstaten van de Europese Unie (FRONTEX)</w:t>
      </w:r>
      <w:r w:rsidR="007E640C" w:rsidRPr="007E640C">
        <w:t xml:space="preserve">, het European Border Surveillance System (EUROSUR), </w:t>
      </w:r>
      <w:r w:rsidR="007B7E59" w:rsidRPr="007E640C">
        <w:t>andere Lidstaten en internationale organisaties</w:t>
      </w:r>
      <w:r w:rsidRPr="007E640C">
        <w:t>.</w:t>
      </w:r>
    </w:p>
    <w:p w:rsidR="00DD7BD7" w:rsidRDefault="00DD7BD7" w:rsidP="008F7770">
      <w:pPr>
        <w:pStyle w:val="broodtekst"/>
      </w:pPr>
    </w:p>
    <w:p w:rsidR="00EC26A9" w:rsidRDefault="00DD7BD7" w:rsidP="00DD7BD7">
      <w:pPr>
        <w:pStyle w:val="broodtekst"/>
      </w:pPr>
      <w:r>
        <w:t>De mogelijkheden onder het normale kader</w:t>
      </w:r>
      <w:r w:rsidR="00C10950">
        <w:t>,</w:t>
      </w:r>
      <w:r>
        <w:t xml:space="preserve"> zoals dat is neergelegd in artikel 4.17a van het Vb 2000</w:t>
      </w:r>
      <w:r w:rsidR="00C10950">
        <w:t>,</w:t>
      </w:r>
      <w:r>
        <w:t xml:space="preserve"> zijn</w:t>
      </w:r>
      <w:r w:rsidR="001F5B70">
        <w:t>,</w:t>
      </w:r>
      <w:r w:rsidR="007466A8">
        <w:t xml:space="preserve"> ook als tot de in 2.1 beschreven uitbreiding wordt gekomen</w:t>
      </w:r>
      <w:r w:rsidR="001F5B70">
        <w:t xml:space="preserve">, voor die situatie </w:t>
      </w:r>
      <w:r>
        <w:t xml:space="preserve">te beperkt om </w:t>
      </w:r>
      <w:r w:rsidR="001F5B70">
        <w:t>h</w:t>
      </w:r>
      <w:r w:rsidR="00295C33">
        <w:t>et onrechtmatige verblijf</w:t>
      </w:r>
      <w:r>
        <w:t xml:space="preserve"> van deze vreemdelingen te voorkomen. Gelet daarop worden in een nieuwe bepaling, artikel 4.17b van het Vb 2000, de voorwaarden beschreven waaronder in uitzonderingssituaties de mogelijkheden van artikel 4.17a kunnen worden verruimd. </w:t>
      </w:r>
      <w:r w:rsidR="00C10950">
        <w:t xml:space="preserve">Deze voorwaarden zijn strikt. </w:t>
      </w:r>
      <w:r>
        <w:t>De toepassing van deze bepaling moet uitdrukkelijk worden onderscheiden van een tijdelijke herinvoering van het grenstoezicht aan de binnengrenzen waar de Schengengrenscode in de artikelen 23 tot en met 31 een rechtsgrondslag voor biedt</w:t>
      </w:r>
      <w:r w:rsidR="00EC26A9">
        <w:t>.</w:t>
      </w:r>
    </w:p>
    <w:p w:rsidR="001F5B70" w:rsidRDefault="001F5B70" w:rsidP="00DD7BD7">
      <w:pPr>
        <w:pStyle w:val="broodtekst"/>
      </w:pPr>
    </w:p>
    <w:p w:rsidR="007466A8" w:rsidRDefault="00EC26A9" w:rsidP="00152899">
      <w:pPr>
        <w:pStyle w:val="broodtekst"/>
      </w:pPr>
      <w:r>
        <w:t xml:space="preserve">Zoals hiervoor al is aangegeven, wordt in </w:t>
      </w:r>
      <w:r w:rsidRPr="00520A8D">
        <w:t xml:space="preserve">artikel 21, sub a, </w:t>
      </w:r>
      <w:r w:rsidR="007466A8">
        <w:t>onder ii</w:t>
      </w:r>
      <w:r w:rsidR="007C1591">
        <w:t xml:space="preserve">, </w:t>
      </w:r>
      <w:r w:rsidRPr="00520A8D">
        <w:t>van de Schengengrenscode</w:t>
      </w:r>
      <w:r>
        <w:t xml:space="preserve"> </w:t>
      </w:r>
      <w:r w:rsidR="00675C57">
        <w:t xml:space="preserve">– onder meer – het gegeven dat de </w:t>
      </w:r>
      <w:r w:rsidR="00675C57" w:rsidRPr="00520A8D">
        <w:t>uitoefening van de politiebevoegdheid</w:t>
      </w:r>
      <w:r w:rsidR="00675C57">
        <w:t xml:space="preserve"> gebaseerd is op </w:t>
      </w:r>
      <w:r w:rsidR="00675C57" w:rsidRPr="00295696">
        <w:t>algemene</w:t>
      </w:r>
      <w:r w:rsidR="00675C57">
        <w:t xml:space="preserve"> politie-informatie als een indicatie gezien dat </w:t>
      </w:r>
      <w:r>
        <w:t xml:space="preserve">de </w:t>
      </w:r>
      <w:r w:rsidRPr="00520A8D">
        <w:t xml:space="preserve">uitoefening van de politiebevoegdheid niet hetzelfde effect </w:t>
      </w:r>
      <w:r w:rsidR="00675C57">
        <w:t xml:space="preserve">heeft als </w:t>
      </w:r>
      <w:r w:rsidRPr="00520A8D">
        <w:t>de uitoefening van grenscontroles</w:t>
      </w:r>
      <w:r w:rsidR="00675C57">
        <w:t xml:space="preserve">. </w:t>
      </w:r>
      <w:r w:rsidR="007466A8">
        <w:t>D</w:t>
      </w:r>
      <w:r w:rsidR="00675C57">
        <w:t xml:space="preserve">e bevoegdheden die de nieuwe bepaling biedt </w:t>
      </w:r>
      <w:r w:rsidR="007466A8">
        <w:t xml:space="preserve">kunnen </w:t>
      </w:r>
      <w:r w:rsidR="00675C57">
        <w:t xml:space="preserve">uitsluitend </w:t>
      </w:r>
      <w:r w:rsidR="001F5B70">
        <w:t>worden toegepast als s</w:t>
      </w:r>
      <w:r w:rsidR="001F5B70" w:rsidRPr="001F5B70">
        <w:t xml:space="preserve">prake is van een </w:t>
      </w:r>
      <w:r w:rsidR="009A0ED3">
        <w:t>aanzienlijke stijging van</w:t>
      </w:r>
      <w:r w:rsidR="001F5B70" w:rsidRPr="001F5B70">
        <w:t xml:space="preserve"> na grensoverschrijding illegaal verblijvende </w:t>
      </w:r>
      <w:r w:rsidR="009A0ED3">
        <w:t>vreemdelingen</w:t>
      </w:r>
      <w:r w:rsidR="009A0ED3" w:rsidRPr="001F5B70">
        <w:t xml:space="preserve"> </w:t>
      </w:r>
      <w:r w:rsidR="001F5B70" w:rsidRPr="001F5B70">
        <w:t xml:space="preserve">of </w:t>
      </w:r>
      <w:r w:rsidR="002303AD">
        <w:t xml:space="preserve">als </w:t>
      </w:r>
      <w:r w:rsidR="001F5B70" w:rsidRPr="001F5B70">
        <w:t>er concrete aanwijzingen zijn dat dit op korte termijn kan worden verwacht</w:t>
      </w:r>
      <w:r w:rsidR="001F5B70">
        <w:t>.</w:t>
      </w:r>
      <w:r w:rsidR="00224544">
        <w:t xml:space="preserve"> In beide gevallen is er informatie voorhanden die een striktere controle rechtvaardigt.</w:t>
      </w:r>
    </w:p>
    <w:p w:rsidR="001F5B70" w:rsidRDefault="001F5B70" w:rsidP="00152899">
      <w:pPr>
        <w:pStyle w:val="broodtekst"/>
      </w:pPr>
    </w:p>
    <w:p w:rsidR="00AB2670" w:rsidRDefault="00AB2670" w:rsidP="00152899">
      <w:pPr>
        <w:pStyle w:val="broodtekst"/>
      </w:pPr>
      <w:r>
        <w:t xml:space="preserve">Vooropgesteld moet worden dat het Hof in het hiervoor genoemde arrest in de zaak Adil in de punten 65 tot en met 67 </w:t>
      </w:r>
      <w:r w:rsidR="00152899">
        <w:t xml:space="preserve">uitdrukkelijk heeft overwogen dat </w:t>
      </w:r>
      <w:r w:rsidR="00152899" w:rsidRPr="00152899">
        <w:t>artikel 21, sub a,</w:t>
      </w:r>
      <w:r w:rsidR="00152899">
        <w:t xml:space="preserve"> van de Schengengrenscode </w:t>
      </w:r>
      <w:r>
        <w:t>geen uitputtende lijst van voorwaarden bevat waaraan de politiële maatregelen moeten voldoen om te worden geacht niet eenzelfde effect als dat van grenscontroles te hebben, en ook geen uitputtende lijst van doelstellingen die deze politiële maatregelen mogen nastreven. De door de Nederlandse regeling nagestreefde doelstelling van de bestrijding van illegaal verblijf, brengt volgens het Hof</w:t>
      </w:r>
      <w:r w:rsidR="00C10950">
        <w:t xml:space="preserve"> </w:t>
      </w:r>
      <w:r>
        <w:t>niet met zich mee dat de MTV-controles eenzelfde effect als grenscontroles hebben</w:t>
      </w:r>
      <w:r w:rsidR="007466A8">
        <w:t xml:space="preserve">. </w:t>
      </w:r>
    </w:p>
    <w:p w:rsidR="00B27A44" w:rsidRDefault="00B27A44" w:rsidP="00DD7BD7">
      <w:pPr>
        <w:pStyle w:val="broodtekst"/>
      </w:pPr>
    </w:p>
    <w:p w:rsidR="006F0E34" w:rsidRDefault="004525BA" w:rsidP="004525BA">
      <w:pPr>
        <w:pStyle w:val="broodtekst"/>
      </w:pPr>
      <w:r>
        <w:t>Zoals uit de hiervoor aangehaalde passage uit het arrest van het H</w:t>
      </w:r>
      <w:r w:rsidR="005D636D">
        <w:t>of</w:t>
      </w:r>
      <w:r>
        <w:t xml:space="preserve"> in de zaak Adil blijkt</w:t>
      </w:r>
      <w:r w:rsidRPr="004525BA">
        <w:t xml:space="preserve"> </w:t>
      </w:r>
      <w:r>
        <w:t xml:space="preserve">vraagt het Hof </w:t>
      </w:r>
      <w:r w:rsidR="00D947E3">
        <w:t xml:space="preserve">echter </w:t>
      </w:r>
      <w:r>
        <w:t xml:space="preserve">een </w:t>
      </w:r>
      <w:r w:rsidRPr="004525BA">
        <w:t xml:space="preserve">nauwkeurig en gedetailleerd </w:t>
      </w:r>
      <w:r>
        <w:t>kader. H</w:t>
      </w:r>
      <w:r w:rsidRPr="004525BA">
        <w:t xml:space="preserve">oe meer aanwijzingen er </w:t>
      </w:r>
      <w:r w:rsidR="00D947E3">
        <w:t xml:space="preserve">zijn </w:t>
      </w:r>
      <w:r w:rsidRPr="004525BA">
        <w:t xml:space="preserve">voor een mogelijk zelfde </w:t>
      </w:r>
      <w:r w:rsidR="006F0E34">
        <w:t>effect als grenscontroles</w:t>
      </w:r>
      <w:r w:rsidR="00D947E3">
        <w:t xml:space="preserve"> </w:t>
      </w:r>
      <w:r w:rsidR="006F0E34">
        <w:t xml:space="preserve">– en het ligt voor de hand dat de verruiming van de toezichtsmogelijkheden als aanwijzingen in die zin zullen worden opgevat – </w:t>
      </w:r>
      <w:r w:rsidRPr="004525BA">
        <w:t>hoe strikter de preciseringen en beperkingen rond de uitoefening van de politiebevoegdheid van de lidstaten in een grensgebied moeten zijn en hoe strikter deze moeten worden nageleefd</w:t>
      </w:r>
      <w:r w:rsidR="006F0E34">
        <w:t>.</w:t>
      </w:r>
    </w:p>
    <w:p w:rsidR="007466A8" w:rsidRDefault="007466A8" w:rsidP="004525BA">
      <w:pPr>
        <w:pStyle w:val="broodtekst"/>
      </w:pPr>
    </w:p>
    <w:p w:rsidR="007466A8" w:rsidRDefault="007466A8" w:rsidP="007466A8">
      <w:pPr>
        <w:pStyle w:val="broodtekst"/>
      </w:pPr>
      <w:r>
        <w:t xml:space="preserve">De nieuwe bepaling gaat uit van de veronderstelling dat de informatie die voorhanden is, </w:t>
      </w:r>
      <w:r w:rsidR="009A0ED3">
        <w:t xml:space="preserve">zo </w:t>
      </w:r>
      <w:r>
        <w:t xml:space="preserve">concreet is dat dit tot </w:t>
      </w:r>
      <w:r w:rsidR="009A0ED3">
        <w:t xml:space="preserve">intensievere </w:t>
      </w:r>
      <w:r w:rsidR="007B7E59">
        <w:t>toezichts</w:t>
      </w:r>
      <w:r>
        <w:t xml:space="preserve">maatregelen noopt. Een verruiming van de controles </w:t>
      </w:r>
      <w:r w:rsidR="00C5746C">
        <w:t xml:space="preserve">kan </w:t>
      </w:r>
      <w:r w:rsidR="00224544">
        <w:t xml:space="preserve">onder die omstandigheden </w:t>
      </w:r>
      <w:r w:rsidR="00C5746C">
        <w:t xml:space="preserve">toelaatbaar worden geacht, </w:t>
      </w:r>
      <w:r>
        <w:t>omdat sprake is van deze concrete informatie, maar</w:t>
      </w:r>
      <w:r w:rsidR="00224544">
        <w:t xml:space="preserve"> </w:t>
      </w:r>
      <w:r>
        <w:t xml:space="preserve">ook omdat in de nieuwe bepaling artikel 4.17b wordt gewaarborgd dat ook als het verruimde kader geldt de controle van het grensverkeer aan regels gebonden is en niet al het grensverkeer </w:t>
      </w:r>
      <w:r w:rsidR="007E640C">
        <w:t>zal</w:t>
      </w:r>
      <w:r>
        <w:t xml:space="preserve"> worden gecontroleerd.</w:t>
      </w:r>
    </w:p>
    <w:p w:rsidR="006F0E34" w:rsidRDefault="006F0E34" w:rsidP="004525BA">
      <w:pPr>
        <w:pStyle w:val="broodtekst"/>
      </w:pPr>
    </w:p>
    <w:p w:rsidR="007C7188" w:rsidRDefault="006F0E34" w:rsidP="005603AA">
      <w:pPr>
        <w:pStyle w:val="broodtekst"/>
      </w:pPr>
      <w:r>
        <w:t xml:space="preserve">Nu </w:t>
      </w:r>
      <w:r w:rsidR="00EF72B4">
        <w:t xml:space="preserve">de </w:t>
      </w:r>
      <w:r w:rsidR="00C10950">
        <w:t xml:space="preserve">aanwezigheid van </w:t>
      </w:r>
      <w:r w:rsidR="007466A8">
        <w:t xml:space="preserve">de bedoelde </w:t>
      </w:r>
      <w:r w:rsidR="00C10950">
        <w:t xml:space="preserve">concrete aanwijzingen </w:t>
      </w:r>
      <w:r w:rsidR="00C5746C">
        <w:t>een belangrijke</w:t>
      </w:r>
      <w:r w:rsidR="00C10950">
        <w:t xml:space="preserve"> rechtvaardiging vormt voor de </w:t>
      </w:r>
      <w:r w:rsidR="000E244C">
        <w:t xml:space="preserve">tijdelijke afwijking </w:t>
      </w:r>
      <w:r w:rsidR="00C10950">
        <w:t xml:space="preserve">van het normale kader en het </w:t>
      </w:r>
      <w:r>
        <w:t xml:space="preserve">Hof voorts benadrukt dat </w:t>
      </w:r>
      <w:r w:rsidRPr="004525BA">
        <w:t>zowel de noodzaak van de controles als de concreet toegestane controlemaatregelen zelf ook aan contr</w:t>
      </w:r>
      <w:r>
        <w:t xml:space="preserve">oles </w:t>
      </w:r>
      <w:r w:rsidR="00C10950">
        <w:t xml:space="preserve">moeten kunnen worden onderworpen, </w:t>
      </w:r>
      <w:r>
        <w:t xml:space="preserve">wordt het passend geacht dat deze </w:t>
      </w:r>
      <w:r w:rsidR="00EF72B4">
        <w:t>aanwijzingen</w:t>
      </w:r>
      <w:r>
        <w:t xml:space="preserve"> door de </w:t>
      </w:r>
      <w:r w:rsidR="00E64118">
        <w:t>Commandant</w:t>
      </w:r>
      <w:r>
        <w:t xml:space="preserve"> van de </w:t>
      </w:r>
      <w:r w:rsidR="00BC0604">
        <w:t>Kmar</w:t>
      </w:r>
      <w:r>
        <w:t xml:space="preserve"> </w:t>
      </w:r>
      <w:r w:rsidR="00EF72B4">
        <w:t>worden</w:t>
      </w:r>
      <w:r>
        <w:t xml:space="preserve"> neergelegd in een ambtsbericht.</w:t>
      </w:r>
      <w:r w:rsidR="00555803">
        <w:t xml:space="preserve"> </w:t>
      </w:r>
      <w:r w:rsidR="00C10950">
        <w:t xml:space="preserve">In dit </w:t>
      </w:r>
      <w:r w:rsidR="00555803">
        <w:t xml:space="preserve">ambtsbericht </w:t>
      </w:r>
      <w:r w:rsidR="00C10950">
        <w:t xml:space="preserve">moet de aard van de </w:t>
      </w:r>
      <w:r w:rsidR="005603AA">
        <w:t>c</w:t>
      </w:r>
      <w:r w:rsidR="00555803">
        <w:t>oncrete aanwijzingen</w:t>
      </w:r>
      <w:r w:rsidR="00C10950">
        <w:t xml:space="preserve"> worden benoemd en moet inzicht worden geboden in </w:t>
      </w:r>
      <w:r w:rsidR="00E84EC9">
        <w:t xml:space="preserve">het </w:t>
      </w:r>
      <w:r w:rsidR="00C10950">
        <w:t xml:space="preserve">te verwachten verhoogde </w:t>
      </w:r>
      <w:r w:rsidR="00E84EC9">
        <w:t>risico op illegaal verblijf</w:t>
      </w:r>
      <w:r w:rsidR="009A0ED3">
        <w:t xml:space="preserve"> na grensoverschrijding</w:t>
      </w:r>
      <w:r w:rsidR="00C10950">
        <w:t xml:space="preserve">. </w:t>
      </w:r>
      <w:r w:rsidR="00555803">
        <w:t xml:space="preserve">Op basis van dit ambtsbericht kan </w:t>
      </w:r>
      <w:r w:rsidR="009A0ED3">
        <w:t>de minister</w:t>
      </w:r>
      <w:r w:rsidR="00555803">
        <w:t xml:space="preserve"> </w:t>
      </w:r>
      <w:r w:rsidR="005603AA">
        <w:t xml:space="preserve">besluiten tot een </w:t>
      </w:r>
      <w:r w:rsidR="007C7188">
        <w:t>t</w:t>
      </w:r>
      <w:r w:rsidR="007C7188" w:rsidRPr="007C7188">
        <w:t xml:space="preserve">ijdelijke verruiming van de </w:t>
      </w:r>
      <w:r w:rsidR="00EF72B4">
        <w:t>in</w:t>
      </w:r>
      <w:r w:rsidR="007C7188" w:rsidRPr="007C7188">
        <w:t xml:space="preserve"> artikel 4.17a, derde tot en met vijfde lid, geboden mogelijkheden voor toezicht.</w:t>
      </w:r>
    </w:p>
    <w:p w:rsidR="006F0E34" w:rsidRDefault="00555803" w:rsidP="005603AA">
      <w:pPr>
        <w:pStyle w:val="broodtekst"/>
      </w:pPr>
      <w:r>
        <w:t xml:space="preserve">De geldigheidsduur van dit </w:t>
      </w:r>
      <w:r w:rsidR="005603AA">
        <w:t>besluit verstrijkt in ieder geval vier weken na</w:t>
      </w:r>
      <w:r w:rsidR="00AC493C">
        <w:t>dat het is genomen. Het besluit dient onverwijld te worden ingetrokken indien het niet langer noodzakelijk is.</w:t>
      </w:r>
    </w:p>
    <w:p w:rsidR="00B34522" w:rsidRDefault="00B34522" w:rsidP="005603AA">
      <w:pPr>
        <w:pStyle w:val="broodtekst"/>
      </w:pPr>
    </w:p>
    <w:p w:rsidR="00B34522" w:rsidRDefault="00B34522" w:rsidP="00B34522">
      <w:pPr>
        <w:pStyle w:val="broodtekst"/>
      </w:pPr>
      <w:r>
        <w:t>De ACVZ heeft in haar consultatieadvies opgemerkt dat in a</w:t>
      </w:r>
      <w:r w:rsidRPr="00B34522">
        <w:t xml:space="preserve">rtikel 4.17b </w:t>
      </w:r>
      <w:r>
        <w:t>termen staan die niet nader worden</w:t>
      </w:r>
      <w:r w:rsidRPr="00B34522">
        <w:t xml:space="preserve"> omschreven: ‘concrete aanwijzingen’, ‘aanzienlijke toenamen’, ‘korte </w:t>
      </w:r>
      <w:r w:rsidRPr="00B34522">
        <w:lastRenderedPageBreak/>
        <w:t xml:space="preserve">termijn’ en ‘niet langer noodzakelijk’. </w:t>
      </w:r>
      <w:r>
        <w:t xml:space="preserve">Ik deel het standpunt van de ACVZ dat de </w:t>
      </w:r>
      <w:r w:rsidRPr="00B34522">
        <w:t xml:space="preserve">Commandant van de Kmar in zijn ambtsbericht </w:t>
      </w:r>
      <w:r>
        <w:t xml:space="preserve"> een zodanige invulling aan deze termen moet geven dat </w:t>
      </w:r>
      <w:r w:rsidRPr="00B34522">
        <w:t xml:space="preserve">de informatie die door de rechter kan worden beoordeeld zo concreet mogelijk en feitelijk onderbouwd is. </w:t>
      </w:r>
    </w:p>
    <w:p w:rsidR="006F0E34" w:rsidRDefault="006F0E34" w:rsidP="005603AA">
      <w:pPr>
        <w:pStyle w:val="broodtekst"/>
      </w:pPr>
    </w:p>
    <w:p w:rsidR="005603AA" w:rsidRDefault="00A5257B" w:rsidP="005603AA">
      <w:pPr>
        <w:pStyle w:val="broodtekst"/>
      </w:pPr>
      <w:r>
        <w:t>A</w:t>
      </w:r>
      <w:r w:rsidR="007C7188">
        <w:t>ls het verruimde kader geldt</w:t>
      </w:r>
      <w:r w:rsidR="00F92FC5">
        <w:t xml:space="preserve"> </w:t>
      </w:r>
      <w:r w:rsidR="007C7188">
        <w:t>zal</w:t>
      </w:r>
      <w:r w:rsidR="00F92FC5">
        <w:t xml:space="preserve">, </w:t>
      </w:r>
      <w:r>
        <w:t xml:space="preserve">zoals hiervoor is opgemerkt, niet al het grensverkeer </w:t>
      </w:r>
      <w:r w:rsidR="007C7188">
        <w:t>worden gecontroleerd</w:t>
      </w:r>
      <w:r w:rsidR="00C674B8">
        <w:t>.</w:t>
      </w:r>
      <w:r w:rsidR="009C3D17">
        <w:t xml:space="preserve"> </w:t>
      </w:r>
      <w:r>
        <w:t xml:space="preserve">Ook daarom kan, mits de bedoelde concrete aanwijzingen aanwezig zijn, worden aangenomen dat geen sprake is van hetzelfde effect als grenscontroles. </w:t>
      </w:r>
      <w:r w:rsidR="00C65985" w:rsidRPr="00BD2CB4">
        <w:t>Wat</w:t>
      </w:r>
      <w:r w:rsidR="00C65985">
        <w:t xml:space="preserve"> het luchtverkeer betreft wordt </w:t>
      </w:r>
      <w:r w:rsidR="005603AA">
        <w:t>het toezicht</w:t>
      </w:r>
      <w:r w:rsidR="00C65985">
        <w:t xml:space="preserve"> </w:t>
      </w:r>
      <w:r w:rsidR="005603AA">
        <w:t>op eenzelfde vliegroute, ten hoogste op de helft van het aantal vluchten per dag</w:t>
      </w:r>
      <w:r w:rsidR="00A7028F">
        <w:t xml:space="preserve"> </w:t>
      </w:r>
      <w:r w:rsidR="005603AA">
        <w:t>en per week uitgevoerd.</w:t>
      </w:r>
      <w:r w:rsidR="00C65985">
        <w:t xml:space="preserve"> De</w:t>
      </w:r>
      <w:r w:rsidR="00D9285B">
        <w:t xml:space="preserve"> bij toepassing van het normale kader geldende </w:t>
      </w:r>
      <w:r w:rsidR="00C65985">
        <w:t xml:space="preserve">regel </w:t>
      </w:r>
      <w:r w:rsidR="00D9285B">
        <w:t xml:space="preserve">dat </w:t>
      </w:r>
      <w:r w:rsidR="005603AA">
        <w:t xml:space="preserve">slechts een deel van de passagiers op een vlucht </w:t>
      </w:r>
      <w:r w:rsidR="00C65985">
        <w:t xml:space="preserve">wordt </w:t>
      </w:r>
      <w:r w:rsidR="005603AA">
        <w:t xml:space="preserve">staande </w:t>
      </w:r>
      <w:r w:rsidR="00C65985">
        <w:t>gehouden blijft</w:t>
      </w:r>
      <w:r w:rsidR="00EF72B4">
        <w:t xml:space="preserve"> ook bij de verruiming</w:t>
      </w:r>
      <w:r w:rsidR="00C65985">
        <w:t xml:space="preserve"> gelden. De mogelijkheden voor toezicht op treinen </w:t>
      </w:r>
      <w:r w:rsidR="003D3F45">
        <w:t xml:space="preserve">en op wegen en vaarwegen worden verdubbeld. Wat het treinverkeer betreft betekent dit dat ongeveer een kwart van het aantal treinen dat per dag Nederland binnenkomt kan worden gecontroleerd. De </w:t>
      </w:r>
      <w:r w:rsidR="00D9285B">
        <w:t xml:space="preserve">bij toepassing van </w:t>
      </w:r>
      <w:r w:rsidR="003D3F45">
        <w:t xml:space="preserve">het normale kader geldende regel dat slechts een deel van de trein wordt gecontroleerd dat niet </w:t>
      </w:r>
      <w:r w:rsidR="005603AA">
        <w:t>groter is d</w:t>
      </w:r>
      <w:r w:rsidR="003D3F45">
        <w:t xml:space="preserve">an ten hoogste vier treincoupés, geldt ook bij een </w:t>
      </w:r>
      <w:r w:rsidR="000E244C">
        <w:t xml:space="preserve">tijdelijke </w:t>
      </w:r>
      <w:r w:rsidR="003D3F45">
        <w:t>verruiming.</w:t>
      </w:r>
    </w:p>
    <w:p w:rsidR="003D3F45" w:rsidRDefault="003D3F45" w:rsidP="005603AA">
      <w:pPr>
        <w:pStyle w:val="broodtekst"/>
      </w:pPr>
    </w:p>
    <w:p w:rsidR="00BD2CB4" w:rsidRDefault="00EF72B4" w:rsidP="00D9285B">
      <w:pPr>
        <w:pStyle w:val="broodtekst"/>
      </w:pPr>
      <w:r>
        <w:t xml:space="preserve">Bij </w:t>
      </w:r>
      <w:r w:rsidR="003D3F45">
        <w:t xml:space="preserve">toezicht op eenzelfde weg of </w:t>
      </w:r>
      <w:r w:rsidR="007C4679">
        <w:t xml:space="preserve">vaarweg </w:t>
      </w:r>
      <w:r>
        <w:t xml:space="preserve">zal ook </w:t>
      </w:r>
      <w:r w:rsidR="003D3F45">
        <w:t xml:space="preserve">onder het verruimde regime niet meer dan een kwart van het totale aantal beschikbare uren per maand worden gecontroleerd. </w:t>
      </w:r>
      <w:r w:rsidR="00D9285B">
        <w:t xml:space="preserve">De bij toepassing van het normale kader geldende regel dat </w:t>
      </w:r>
      <w:r w:rsidR="00BD2CB4">
        <w:t>in het kader van het toezicht slechts een deel van de passerende vervoermiddelen kan worden stilgehouden</w:t>
      </w:r>
      <w:r w:rsidR="00D9285B">
        <w:t>, geldt ook bij de verruiming</w:t>
      </w:r>
      <w:r w:rsidR="00BD2CB4">
        <w:t>. Het aantal uur dat per dag controle mogelijk is, wordt weliswaar uitgebreid</w:t>
      </w:r>
      <w:r>
        <w:t xml:space="preserve"> maar</w:t>
      </w:r>
      <w:r w:rsidR="00BD2CB4">
        <w:t xml:space="preserve"> de maximering tot 12 uur per dag waarborgt dat ook onder het verruimde regime niet al het verkeer </w:t>
      </w:r>
      <w:r w:rsidR="00224544">
        <w:t>zal</w:t>
      </w:r>
      <w:r w:rsidR="00BD2CB4">
        <w:t xml:space="preserve"> worden gecontroleerd.</w:t>
      </w:r>
    </w:p>
    <w:p w:rsidR="00CD0AA0" w:rsidRDefault="00CD0AA0" w:rsidP="00D9285B">
      <w:pPr>
        <w:pStyle w:val="broodtekst"/>
      </w:pPr>
    </w:p>
    <w:p w:rsidR="00B34522" w:rsidRDefault="00CD0AA0" w:rsidP="00D9285B">
      <w:pPr>
        <w:pStyle w:val="broodtekst"/>
      </w:pPr>
      <w:r>
        <w:t xml:space="preserve">De ACVZ wijst er in haar consultatieadvies </w:t>
      </w:r>
      <w:r w:rsidR="00B34522">
        <w:t xml:space="preserve">terecht </w:t>
      </w:r>
      <w:r>
        <w:t xml:space="preserve">op dat de </w:t>
      </w:r>
      <w:r w:rsidR="00B34522" w:rsidRPr="00B34522">
        <w:t>Europese Commissie toezicht houdt op een correcte wijze van uitvoering van de artikelen 20 en 21 van de SGC.</w:t>
      </w:r>
      <w:r w:rsidR="00B34522">
        <w:t xml:space="preserve"> </w:t>
      </w:r>
      <w:r>
        <w:t>Zoals ook de ACVZ aanbeveelt, zal de Europese Commissie dan ook vertrouwelijk op de hoogte worden</w:t>
      </w:r>
      <w:r w:rsidRPr="00CD0AA0">
        <w:t xml:space="preserve"> gesteld van de inzet van deze verruimde bevoegdheid</w:t>
      </w:r>
      <w:r>
        <w:t>.</w:t>
      </w:r>
    </w:p>
    <w:p w:rsidR="005603AA" w:rsidRDefault="005603AA" w:rsidP="002338A1">
      <w:pPr>
        <w:pStyle w:val="broodtekst"/>
      </w:pPr>
    </w:p>
    <w:p w:rsidR="00003B7A" w:rsidRDefault="00445E01" w:rsidP="00003B7A">
      <w:pPr>
        <w:pStyle w:val="broodtekst"/>
        <w:rPr>
          <w:b/>
        </w:rPr>
      </w:pPr>
      <w:r>
        <w:rPr>
          <w:b/>
        </w:rPr>
        <w:t>3</w:t>
      </w:r>
      <w:r w:rsidR="00003B7A">
        <w:rPr>
          <w:b/>
        </w:rPr>
        <w:t xml:space="preserve">. </w:t>
      </w:r>
      <w:r>
        <w:rPr>
          <w:b/>
        </w:rPr>
        <w:t>Administratieve en financiële lasten</w:t>
      </w:r>
      <w:r w:rsidR="00003B7A" w:rsidRPr="00003B7A">
        <w:rPr>
          <w:b/>
        </w:rPr>
        <w:t xml:space="preserve"> </w:t>
      </w:r>
    </w:p>
    <w:p w:rsidR="00003B7A" w:rsidRDefault="00003B7A" w:rsidP="00003B7A">
      <w:pPr>
        <w:pStyle w:val="broodtekst"/>
        <w:rPr>
          <w:b/>
        </w:rPr>
      </w:pPr>
    </w:p>
    <w:p w:rsidR="00003B7A" w:rsidRPr="00003B7A" w:rsidRDefault="00445E01" w:rsidP="00003B7A">
      <w:pPr>
        <w:pStyle w:val="broodtekst"/>
      </w:pPr>
      <w:r w:rsidRPr="00003B7A">
        <w:t>Dit besluit heeft geen gevolgen voor de administratieve lasten van het bedrijfsleven of van burgers.</w:t>
      </w:r>
      <w:r>
        <w:t xml:space="preserve"> </w:t>
      </w:r>
      <w:r w:rsidR="00003B7A" w:rsidRPr="00003B7A">
        <w:t xml:space="preserve">De inzet van de capaciteit van de </w:t>
      </w:r>
      <w:r w:rsidR="00BC0604">
        <w:t>Kmar</w:t>
      </w:r>
      <w:r w:rsidR="00003B7A" w:rsidRPr="00003B7A">
        <w:t xml:space="preserve"> valt binnen de huidige financiële kaders. Deze wijziging van het </w:t>
      </w:r>
      <w:r w:rsidR="005F261F">
        <w:t xml:space="preserve">Vb </w:t>
      </w:r>
      <w:r w:rsidR="00003B7A" w:rsidRPr="00003B7A">
        <w:t xml:space="preserve">2000 heeft daarom geen financiële gevolgen. </w:t>
      </w:r>
    </w:p>
    <w:p w:rsidR="00003B7A" w:rsidRPr="00003B7A" w:rsidRDefault="00003B7A" w:rsidP="00003B7A">
      <w:pPr>
        <w:pStyle w:val="broodtekst"/>
        <w:rPr>
          <w:b/>
        </w:rPr>
      </w:pPr>
    </w:p>
    <w:p w:rsidR="00003B7A" w:rsidRDefault="0075491E" w:rsidP="00003B7A">
      <w:pPr>
        <w:pStyle w:val="broodtekst"/>
        <w:rPr>
          <w:b/>
        </w:rPr>
      </w:pPr>
      <w:r>
        <w:rPr>
          <w:b/>
        </w:rPr>
        <w:t>4</w:t>
      </w:r>
      <w:r w:rsidR="00003B7A">
        <w:rPr>
          <w:b/>
        </w:rPr>
        <w:t xml:space="preserve">. </w:t>
      </w:r>
      <w:r w:rsidR="00003B7A" w:rsidRPr="00003B7A">
        <w:rPr>
          <w:b/>
        </w:rPr>
        <w:t xml:space="preserve">Afwijking van de vaste verandermomenten </w:t>
      </w:r>
    </w:p>
    <w:p w:rsidR="00003B7A" w:rsidRPr="00003B7A" w:rsidRDefault="00003B7A" w:rsidP="00003B7A">
      <w:pPr>
        <w:pStyle w:val="broodtekst"/>
      </w:pPr>
    </w:p>
    <w:p w:rsidR="005C0A1F" w:rsidRDefault="00003B7A" w:rsidP="00003B7A">
      <w:pPr>
        <w:pStyle w:val="broodtekst"/>
      </w:pPr>
      <w:r w:rsidRPr="00003B7A">
        <w:t>Dit besluit treedt in werking met ingang van de dag na datum van uitgifte van het Staatsblad waarin het wordt geplaatst. Hiermee wordt afgeweken van het uitgangspunt van vaste inwerkingtredingsdata.</w:t>
      </w:r>
      <w:r>
        <w:rPr>
          <w:rStyle w:val="Voetnootmarkering"/>
        </w:rPr>
        <w:footnoteReference w:id="10"/>
      </w:r>
      <w:r w:rsidRPr="00003B7A">
        <w:t xml:space="preserve"> De reden voor deze afwijking is</w:t>
      </w:r>
      <w:r w:rsidR="005C0A1F">
        <w:t xml:space="preserve"> dat het voor de praktijk van het grenstoezicht van belang is dat de mogelijkheden voor verruiming zo snel mogelijk kunnen worden toegepast.</w:t>
      </w:r>
    </w:p>
    <w:p w:rsidR="00003B7A" w:rsidRDefault="00003B7A" w:rsidP="00003B7A">
      <w:pPr>
        <w:pStyle w:val="broodtekst"/>
        <w:rPr>
          <w:b/>
        </w:rPr>
      </w:pPr>
    </w:p>
    <w:p w:rsidR="00E02974" w:rsidRDefault="0075491E" w:rsidP="00003B7A">
      <w:pPr>
        <w:pStyle w:val="broodtekst"/>
        <w:rPr>
          <w:b/>
        </w:rPr>
      </w:pPr>
      <w:r>
        <w:rPr>
          <w:b/>
        </w:rPr>
        <w:t>5</w:t>
      </w:r>
      <w:r w:rsidR="00003B7A">
        <w:rPr>
          <w:b/>
        </w:rPr>
        <w:t xml:space="preserve">. </w:t>
      </w:r>
      <w:r w:rsidR="00003B7A" w:rsidRPr="00003B7A">
        <w:rPr>
          <w:b/>
        </w:rPr>
        <w:t>Consultatie</w:t>
      </w:r>
    </w:p>
    <w:p w:rsidR="00E02974" w:rsidRDefault="00E02974">
      <w:pPr>
        <w:pStyle w:val="broodtekst"/>
        <w:rPr>
          <w:b/>
        </w:rPr>
      </w:pPr>
    </w:p>
    <w:p w:rsidR="00466D0F" w:rsidRDefault="00A40E2D">
      <w:pPr>
        <w:pStyle w:val="broodtekst"/>
      </w:pPr>
      <w:r w:rsidRPr="00A40E2D">
        <w:t xml:space="preserve">In het kader van een consultatieronde naar aanleiding van een ontwerp van dit besluit </w:t>
      </w:r>
      <w:r w:rsidR="00466D0F">
        <w:t xml:space="preserve">zijn </w:t>
      </w:r>
      <w:r w:rsidRPr="00A40E2D">
        <w:t>reactie</w:t>
      </w:r>
      <w:r w:rsidR="00466D0F">
        <w:t>s</w:t>
      </w:r>
      <w:r w:rsidRPr="00A40E2D">
        <w:t xml:space="preserve"> binnengekomen van </w:t>
      </w:r>
      <w:r w:rsidR="00073B45">
        <w:t xml:space="preserve">de Commandant </w:t>
      </w:r>
      <w:r w:rsidR="00612339">
        <w:t>van de</w:t>
      </w:r>
      <w:r w:rsidR="00073B45">
        <w:t xml:space="preserve"> K</w:t>
      </w:r>
      <w:r w:rsidR="00612339">
        <w:t xml:space="preserve">mar </w:t>
      </w:r>
      <w:r w:rsidR="00073B45">
        <w:t xml:space="preserve">en </w:t>
      </w:r>
      <w:r w:rsidR="00466D0F">
        <w:t xml:space="preserve">de </w:t>
      </w:r>
      <w:r w:rsidR="00466D0F" w:rsidRPr="00466D0F">
        <w:t>ACVZ</w:t>
      </w:r>
      <w:r w:rsidR="00466D0F">
        <w:t>.</w:t>
      </w:r>
    </w:p>
    <w:p w:rsidR="00073B45" w:rsidRDefault="00073B45">
      <w:pPr>
        <w:pStyle w:val="broodtekst"/>
      </w:pPr>
    </w:p>
    <w:p w:rsidR="00073B45" w:rsidRDefault="00073B45">
      <w:pPr>
        <w:pStyle w:val="broodtekst"/>
      </w:pPr>
      <w:r>
        <w:t xml:space="preserve">De Commandant </w:t>
      </w:r>
      <w:r w:rsidR="00612339">
        <w:t>van de</w:t>
      </w:r>
      <w:r>
        <w:t xml:space="preserve"> K</w:t>
      </w:r>
      <w:r w:rsidR="00612339">
        <w:t xml:space="preserve">mar </w:t>
      </w:r>
      <w:r>
        <w:t>heeft in zijn brief van 18 maart 2014 aangegeven akkoord te zijn met de voorgestelde uitbreiding van artikel 4.17a en de toevoeging van artikel 4.17b aan het Vb 2000.</w:t>
      </w:r>
    </w:p>
    <w:p w:rsidR="00073B45" w:rsidRDefault="00073B45">
      <w:pPr>
        <w:pStyle w:val="broodtekst"/>
      </w:pPr>
    </w:p>
    <w:p w:rsidR="00CD0AA0" w:rsidRDefault="00612339">
      <w:pPr>
        <w:pStyle w:val="broodtekst"/>
      </w:pPr>
      <w:r>
        <w:t xml:space="preserve">De ACVZ heeft in haar </w:t>
      </w:r>
      <w:r w:rsidR="00996A4F">
        <w:t>consultatieadvies van</w:t>
      </w:r>
      <w:r>
        <w:t xml:space="preserve"> </w:t>
      </w:r>
      <w:r w:rsidR="00786AE3">
        <w:t>15 mei 2014</w:t>
      </w:r>
      <w:r>
        <w:t xml:space="preserve"> </w:t>
      </w:r>
      <w:r w:rsidR="00996A4F">
        <w:t xml:space="preserve">kanttekeningen geplaatst bij nut en </w:t>
      </w:r>
      <w:r w:rsidR="0024398E">
        <w:t xml:space="preserve">noodzaak van de </w:t>
      </w:r>
      <w:r w:rsidR="00BA2CBF">
        <w:t xml:space="preserve">voorgestelde wijziging </w:t>
      </w:r>
      <w:r>
        <w:t>van artikel 4.17a</w:t>
      </w:r>
      <w:r w:rsidR="0016206B">
        <w:t xml:space="preserve">. in paragraaf 2.1 is hier reeds op ingegaan. </w:t>
      </w:r>
      <w:r w:rsidR="00CD0AA0">
        <w:t xml:space="preserve">De ACVZ heeft voorts opmerkingen gemaakt over de invulling van </w:t>
      </w:r>
      <w:r>
        <w:t>niet nader omschreven</w:t>
      </w:r>
      <w:r w:rsidR="00CD0AA0">
        <w:t xml:space="preserve"> termen in het nieuwe artikel 4.17b in het ambtsbericht van de Commandant van de Kmar en over het vertrouwelijk op de hoogte stellen van de </w:t>
      </w:r>
      <w:r>
        <w:t xml:space="preserve">Europese Commissie van de inzet van deze </w:t>
      </w:r>
      <w:r w:rsidR="00CD0AA0">
        <w:t>bepaling. Zoals hiervoor in paragraaf 2.2. reeds is toegelicht zal op deze punten overeenkomstig de aanbevelingen van de ACVZ worden gehandeld.</w:t>
      </w:r>
    </w:p>
    <w:p w:rsidR="00EA532E" w:rsidRDefault="00EA532E">
      <w:pPr>
        <w:pStyle w:val="broodtekst"/>
      </w:pPr>
    </w:p>
    <w:p w:rsidR="00EA532E" w:rsidRDefault="0016206B">
      <w:pPr>
        <w:pStyle w:val="broodtekst"/>
      </w:pPr>
      <w:r>
        <w:t xml:space="preserve">Van de </w:t>
      </w:r>
      <w:r w:rsidR="00B22693">
        <w:t xml:space="preserve">gelegenheid </w:t>
      </w:r>
      <w:r>
        <w:t xml:space="preserve">is </w:t>
      </w:r>
      <w:r w:rsidR="00B22693">
        <w:t>gebruik gemaakt om een onjuiste verwijzing in artikel 6.1, eerste lid, van Vb 2000 te corrigeren. In het op 1 januari 2014 inwerking getreden besluit van 18 december 2013 tot aanpassing van het Vb 2000 aan de Dublinverordening,</w:t>
      </w:r>
      <w:r w:rsidR="00B22693">
        <w:rPr>
          <w:rStyle w:val="Voetnootmarkering"/>
        </w:rPr>
        <w:footnoteReference w:id="11"/>
      </w:r>
      <w:r w:rsidR="00B22693">
        <w:t xml:space="preserve"> is artikel 5.1b van het Vb 2000 opnieuw geformuleerd. De gronden voor inbewaringstelling, aanvankelijk opgenomen in het eerste lid, zijn nu opgenomen in het derde en vierde lid van deze bepaling. In artikel 6.1, eerste lid, werd abusievelijk nog verwezen naar het eerste lid van artikel 5.1b. </w:t>
      </w:r>
      <w:r w:rsidR="00EC7A31">
        <w:t xml:space="preserve">Dit wordt in deze wijziging gecorrigeerd. </w:t>
      </w:r>
      <w:r w:rsidR="00B22693">
        <w:t xml:space="preserve">Nu </w:t>
      </w:r>
      <w:r w:rsidR="00EC7A31">
        <w:t>in de nieuwe formulering reeds is opgenomen dat zich ten</w:t>
      </w:r>
      <w:r w:rsidR="00786AE3">
        <w:t xml:space="preserve"> </w:t>
      </w:r>
      <w:r w:rsidR="00EC7A31">
        <w:t>min</w:t>
      </w:r>
      <w:r w:rsidR="00B22693" w:rsidRPr="00B22693">
        <w:t>ste twee van de gronden als bedoeld in art</w:t>
      </w:r>
      <w:r w:rsidR="00EC7A31">
        <w:t>ikel 5.1b, derde en vierde lid, voor moeten doen, kan het tweede lid van artikel 6.1, dat verwees naar het overigens eveneens per 1 januari 2014 gewijzigde artikel 5.1b, tweede lid, met deze strekking, vervallen.</w:t>
      </w:r>
    </w:p>
    <w:p w:rsidR="00EA532E" w:rsidRDefault="00EA532E">
      <w:pPr>
        <w:pStyle w:val="broodtekst"/>
      </w:pPr>
    </w:p>
    <w:p w:rsidR="00EA532E" w:rsidRDefault="00EA532E">
      <w:pPr>
        <w:pStyle w:val="broodtekst"/>
      </w:pPr>
    </w:p>
    <w:p w:rsidR="00220548" w:rsidRDefault="00220548">
      <w:pPr>
        <w:pStyle w:val="broodtekst"/>
      </w:pPr>
      <w:r>
        <w:t>De Staatssecretaris van Veiligheid en Justitie,</w:t>
      </w:r>
    </w:p>
    <w:p w:rsidR="00220548" w:rsidRDefault="00220548">
      <w:pPr>
        <w:pStyle w:val="broodtekst"/>
      </w:pPr>
    </w:p>
    <w:p w:rsidR="00220548" w:rsidRDefault="00220548">
      <w:pPr>
        <w:pStyle w:val="broodtekst"/>
      </w:pPr>
    </w:p>
    <w:p w:rsidR="00220548" w:rsidRDefault="00220548">
      <w:pPr>
        <w:pStyle w:val="broodtekst"/>
      </w:pPr>
    </w:p>
    <w:p w:rsidR="00220548" w:rsidRDefault="00220548">
      <w:pPr>
        <w:pStyle w:val="broodtekst"/>
      </w:pPr>
    </w:p>
    <w:p w:rsidR="00220548" w:rsidRDefault="00220548">
      <w:pPr>
        <w:pStyle w:val="broodtekst"/>
      </w:pPr>
    </w:p>
    <w:p w:rsidR="00220548" w:rsidRDefault="00220548">
      <w:pPr>
        <w:pStyle w:val="broodtekst"/>
      </w:pPr>
    </w:p>
    <w:p w:rsidR="00A5257B" w:rsidRDefault="00220548">
      <w:pPr>
        <w:pStyle w:val="broodtekst"/>
      </w:pPr>
      <w:r>
        <w:t>F. Teeven</w:t>
      </w:r>
      <w:r w:rsidR="005C3DEA">
        <w:t xml:space="preserve"> </w:t>
      </w:r>
    </w:p>
    <w:p w:rsidR="00C674B8" w:rsidRDefault="00C674B8">
      <w:pPr>
        <w:pStyle w:val="broodtekst"/>
      </w:pPr>
    </w:p>
    <w:p w:rsidR="00C674B8" w:rsidRDefault="00C674B8">
      <w:pPr>
        <w:pStyle w:val="broodtekst"/>
      </w:pPr>
    </w:p>
    <w:p w:rsidR="00C674B8" w:rsidRPr="00C674B8" w:rsidRDefault="00C674B8" w:rsidP="00C674B8">
      <w:pPr>
        <w:tabs>
          <w:tab w:val="left" w:pos="227"/>
        </w:tabs>
      </w:pPr>
    </w:p>
    <w:sectPr w:rsidR="00C674B8" w:rsidRPr="00C674B8" w:rsidSect="00314C91">
      <w:headerReference w:type="even" r:id="rId15"/>
      <w:footerReference w:type="default" r:id="rId16"/>
      <w:type w:val="continuous"/>
      <w:pgSz w:w="11906" w:h="16838" w:code="9"/>
      <w:pgMar w:top="2546" w:right="1758" w:bottom="1758" w:left="2041" w:header="2398" w:footer="624" w:gutter="0"/>
      <w:paperSrc w:first="259" w:other="259"/>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503D" w:rsidRDefault="00B3503D">
      <w:r>
        <w:separator/>
      </w:r>
    </w:p>
    <w:p w:rsidR="00B3503D" w:rsidRDefault="00B3503D"/>
    <w:p w:rsidR="00B3503D" w:rsidRDefault="00B3503D"/>
    <w:p w:rsidR="00B3503D" w:rsidRDefault="00B3503D"/>
  </w:endnote>
  <w:endnote w:type="continuationSeparator" w:id="0">
    <w:p w:rsidR="00B3503D" w:rsidRDefault="00B3503D">
      <w:r>
        <w:continuationSeparator/>
      </w:r>
    </w:p>
    <w:p w:rsidR="00B3503D" w:rsidRDefault="00B3503D"/>
    <w:p w:rsidR="00B3503D" w:rsidRDefault="00B3503D"/>
    <w:p w:rsidR="00B3503D" w:rsidRDefault="00B3503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KIX Barcode">
    <w:altName w:val="Courier New"/>
    <w:charset w:val="00"/>
    <w:family w:val="swiss"/>
    <w:pitch w:val="variable"/>
    <w:sig w:usb0="00000003" w:usb1="00000000" w:usb2="00000000" w:usb3="00000000" w:csb0="00000001" w:csb1="00000000"/>
  </w:font>
  <w:font w:name="RO VenW">
    <w:charset w:val="00"/>
    <w:family w:val="swiss"/>
    <w:pitch w:val="variable"/>
    <w:sig w:usb0="80000003" w:usb1="1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7F6B" w:rsidRDefault="00533E5F">
    <w:pPr>
      <w:pStyle w:val="Voettekst"/>
      <w:framePr w:wrap="around" w:vAnchor="text" w:hAnchor="margin" w:xAlign="center" w:y="1"/>
      <w:rPr>
        <w:rStyle w:val="Paginanummer"/>
      </w:rPr>
    </w:pPr>
    <w:r>
      <w:rPr>
        <w:rStyle w:val="Paginanummer"/>
      </w:rPr>
      <w:fldChar w:fldCharType="begin"/>
    </w:r>
    <w:r w:rsidR="003C7F6B">
      <w:rPr>
        <w:rStyle w:val="Paginanummer"/>
      </w:rPr>
      <w:instrText xml:space="preserve">PAGE  </w:instrText>
    </w:r>
    <w:r>
      <w:rPr>
        <w:rStyle w:val="Paginanummer"/>
      </w:rPr>
      <w:fldChar w:fldCharType="end"/>
    </w:r>
  </w:p>
  <w:p w:rsidR="003C7F6B" w:rsidRDefault="003C7F6B">
    <w:pPr>
      <w:pStyle w:val="Voettekst"/>
    </w:pPr>
  </w:p>
  <w:p w:rsidR="003C7F6B" w:rsidRDefault="003C7F6B"/>
  <w:tbl>
    <w:tblPr>
      <w:tblW w:w="9900" w:type="dxa"/>
      <w:tblLayout w:type="fixed"/>
      <w:tblCellMar>
        <w:left w:w="0" w:type="dxa"/>
        <w:right w:w="0" w:type="dxa"/>
      </w:tblCellMar>
      <w:tblLook w:val="0000" w:firstRow="0" w:lastRow="0" w:firstColumn="0" w:lastColumn="0" w:noHBand="0" w:noVBand="0"/>
    </w:tblPr>
    <w:tblGrid>
      <w:gridCol w:w="7752"/>
      <w:gridCol w:w="2148"/>
    </w:tblGrid>
    <w:tr w:rsidR="003C7F6B">
      <w:trPr>
        <w:trHeight w:hRule="exact" w:val="240"/>
      </w:trPr>
      <w:tc>
        <w:tcPr>
          <w:tcW w:w="7752" w:type="dxa"/>
        </w:tcPr>
        <w:p w:rsidR="003C7F6B" w:rsidRDefault="003C7F6B">
          <w:pPr>
            <w:pStyle w:val="Huisstijl-Rubricering"/>
          </w:pPr>
          <w:r>
            <w:t>VERTROUWELIJK</w:t>
          </w:r>
        </w:p>
      </w:tc>
      <w:tc>
        <w:tcPr>
          <w:tcW w:w="2148" w:type="dxa"/>
        </w:tcPr>
        <w:p w:rsidR="003C7F6B" w:rsidRDefault="003C7F6B">
          <w:pPr>
            <w:pStyle w:val="Huisstijl-Paginanummering"/>
          </w:pPr>
          <w:r>
            <w:rPr>
              <w:rStyle w:val="Huisstijl-GegevenCharChar"/>
            </w:rPr>
            <w:t>Pagina</w:t>
          </w:r>
          <w:r w:rsidR="009C3D17">
            <w:rPr>
              <w:rStyle w:val="Huisstijl-GegevenCharChar"/>
            </w:rPr>
            <w:t xml:space="preserve"> </w:t>
          </w:r>
          <w:r>
            <w:rPr>
              <w:rStyle w:val="Huisstijl-GegevenCharChar"/>
            </w:rPr>
            <w:t>van</w:t>
          </w:r>
          <w:r>
            <w:t xml:space="preserve"> </w:t>
          </w:r>
          <w:fldSimple w:instr=" NUMPAGES   \* MERGEFORMAT ">
            <w:r w:rsidR="00314C91">
              <w:t>9</w:t>
            </w:r>
          </w:fldSimple>
        </w:p>
      </w:tc>
    </w:tr>
  </w:tbl>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900" w:type="dxa"/>
      <w:tblLayout w:type="fixed"/>
      <w:tblCellMar>
        <w:left w:w="0" w:type="dxa"/>
        <w:right w:w="0" w:type="dxa"/>
      </w:tblCellMar>
      <w:tblLook w:val="0000" w:firstRow="0" w:lastRow="0" w:firstColumn="0" w:lastColumn="0" w:noHBand="0" w:noVBand="0"/>
    </w:tblPr>
    <w:tblGrid>
      <w:gridCol w:w="7752"/>
      <w:gridCol w:w="2148"/>
    </w:tblGrid>
    <w:tr w:rsidR="003C7F6B">
      <w:trPr>
        <w:trHeight w:hRule="exact" w:val="240"/>
      </w:trPr>
      <w:tc>
        <w:tcPr>
          <w:tcW w:w="7752" w:type="dxa"/>
        </w:tcPr>
        <w:p w:rsidR="003C7F6B" w:rsidRDefault="00533E5F">
          <w:pPr>
            <w:pStyle w:val="Huisstijl-Rubricering"/>
          </w:pPr>
          <w:r>
            <w:fldChar w:fldCharType="begin"/>
          </w:r>
          <w:r w:rsidR="003C7F6B">
            <w:instrText xml:space="preserve"> DOCPROPERTY rubricering </w:instrText>
          </w:r>
          <w:r>
            <w:fldChar w:fldCharType="separate"/>
          </w:r>
          <w:r w:rsidR="00314C91">
            <w:rPr>
              <w:b w:val="0"/>
              <w:bCs w:val="0"/>
            </w:rPr>
            <w:t>Fout! Onbekende naam voor documenteigenschap.</w:t>
          </w:r>
          <w:r>
            <w:fldChar w:fldCharType="end"/>
          </w:r>
        </w:p>
      </w:tc>
      <w:tc>
        <w:tcPr>
          <w:tcW w:w="2148" w:type="dxa"/>
        </w:tcPr>
        <w:p w:rsidR="003C7F6B" w:rsidRDefault="00533E5F">
          <w:pPr>
            <w:pStyle w:val="Huisstijl-Paginanummering"/>
          </w:pPr>
          <w:r>
            <w:rPr>
              <w:rStyle w:val="Huisstijl-GegevenCharChar"/>
            </w:rPr>
            <w:fldChar w:fldCharType="begin"/>
          </w:r>
          <w:r w:rsidR="003C7F6B">
            <w:rPr>
              <w:rStyle w:val="Huisstijl-GegevenCharChar"/>
            </w:rPr>
            <w:instrText xml:space="preserve"> DOCPROPERTY _pagina </w:instrText>
          </w:r>
          <w:r>
            <w:rPr>
              <w:rStyle w:val="Huisstijl-GegevenCharChar"/>
            </w:rPr>
            <w:fldChar w:fldCharType="separate"/>
          </w:r>
          <w:r w:rsidR="00314C91">
            <w:rPr>
              <w:rStyle w:val="Huisstijl-GegevenCharChar"/>
              <w:b/>
              <w:bCs/>
            </w:rPr>
            <w:t>Fout! Onbekende naam voor documenteigenschap.</w:t>
          </w:r>
          <w:r>
            <w:rPr>
              <w:rStyle w:val="Huisstijl-GegevenCharChar"/>
            </w:rPr>
            <w:fldChar w:fldCharType="end"/>
          </w:r>
          <w:r w:rsidR="003C7F6B">
            <w:rPr>
              <w:rStyle w:val="Huisstijl-GegevenCharChar"/>
            </w:rPr>
            <w:t xml:space="preserve"> </w:t>
          </w:r>
          <w:r>
            <w:rPr>
              <w:rStyle w:val="Huisstijl-GegevenCharChar"/>
            </w:rPr>
            <w:fldChar w:fldCharType="begin"/>
          </w:r>
          <w:r w:rsidR="003C7F6B">
            <w:rPr>
              <w:rStyle w:val="Huisstijl-GegevenCharChar"/>
            </w:rPr>
            <w:instrText xml:space="preserve"> PAGE   \* MERGEFORMAT </w:instrText>
          </w:r>
          <w:r>
            <w:rPr>
              <w:rStyle w:val="Huisstijl-GegevenCharChar"/>
            </w:rPr>
            <w:fldChar w:fldCharType="separate"/>
          </w:r>
          <w:r w:rsidR="000969DC">
            <w:rPr>
              <w:rStyle w:val="Huisstijl-GegevenCharChar"/>
            </w:rPr>
            <w:t>1</w:t>
          </w:r>
          <w:r>
            <w:rPr>
              <w:rStyle w:val="Huisstijl-GegevenCharChar"/>
            </w:rPr>
            <w:fldChar w:fldCharType="end"/>
          </w:r>
          <w:r w:rsidR="003C7F6B">
            <w:rPr>
              <w:rStyle w:val="Huisstijl-GegevenCharChar"/>
            </w:rPr>
            <w:t xml:space="preserve"> </w:t>
          </w:r>
          <w:r>
            <w:rPr>
              <w:rStyle w:val="Huisstijl-GegevenCharChar"/>
            </w:rPr>
            <w:fldChar w:fldCharType="begin"/>
          </w:r>
          <w:r w:rsidR="003C7F6B">
            <w:rPr>
              <w:rStyle w:val="Huisstijl-GegevenCharChar"/>
            </w:rPr>
            <w:instrText xml:space="preserve"> DOCPROPERTY _van </w:instrText>
          </w:r>
          <w:r>
            <w:rPr>
              <w:rStyle w:val="Huisstijl-GegevenCharChar"/>
            </w:rPr>
            <w:fldChar w:fldCharType="separate"/>
          </w:r>
          <w:r w:rsidR="00314C91">
            <w:rPr>
              <w:rStyle w:val="Huisstijl-GegevenCharChar"/>
              <w:b/>
              <w:bCs/>
            </w:rPr>
            <w:t>Fout! Onbekende naam voor documenteigenschap.</w:t>
          </w:r>
          <w:r>
            <w:rPr>
              <w:rStyle w:val="Huisstijl-GegevenCharChar"/>
            </w:rPr>
            <w:fldChar w:fldCharType="end"/>
          </w:r>
          <w:r w:rsidR="003C7F6B">
            <w:t xml:space="preserve"> </w:t>
          </w:r>
          <w:fldSimple w:instr=" SECTIONPAGES   \* MERGEFORMAT ">
            <w:r w:rsidR="000969DC">
              <w:t>1</w:t>
            </w:r>
          </w:fldSimple>
        </w:p>
      </w:tc>
    </w:tr>
  </w:tbl>
  <w:p w:rsidR="003C7F6B" w:rsidRDefault="003C7F6B">
    <w:pPr>
      <w:pStyle w:val="Voettekst"/>
      <w:spacing w:line="240" w:lineRule="auto"/>
      <w:rPr>
        <w:sz w:val="2"/>
        <w:szCs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7F6B" w:rsidRDefault="003C7F6B">
    <w:pPr>
      <w:pStyle w:val="Huisstijl-Paginanummering"/>
      <w:rPr>
        <w:sz w:val="2"/>
      </w:rPr>
    </w:pPr>
  </w:p>
  <w:p w:rsidR="003C7F6B" w:rsidRDefault="003C7F6B">
    <w:pPr>
      <w:pStyle w:val="Voettekst"/>
      <w:spacing w:line="240" w:lineRule="auto"/>
      <w:rPr>
        <w:sz w:val="2"/>
        <w:szCs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7F6B" w:rsidRDefault="003C7F6B">
    <w:pPr>
      <w:pStyle w:val="Voettekst"/>
      <w:spacing w:line="240" w:lineRule="auto"/>
      <w:rPr>
        <w:sz w:val="2"/>
        <w:szCs w:val="2"/>
      </w:rPr>
    </w:pPr>
  </w:p>
  <w:p w:rsidR="003C7F6B" w:rsidRDefault="00533E5F">
    <w:pPr>
      <w:jc w:val="right"/>
      <w:rPr>
        <w:rStyle w:val="Huisstijl-GegevenCharChar"/>
      </w:rPr>
    </w:pPr>
    <w:r>
      <w:rPr>
        <w:rStyle w:val="Huisstijl-GegevenCharChar"/>
      </w:rPr>
      <w:fldChar w:fldCharType="begin"/>
    </w:r>
    <w:r w:rsidR="003C7F6B">
      <w:rPr>
        <w:rStyle w:val="Huisstijl-GegevenCharChar"/>
      </w:rPr>
      <w:instrText xml:space="preserve"> PAGE </w:instrText>
    </w:r>
    <w:r>
      <w:rPr>
        <w:rStyle w:val="Huisstijl-GegevenCharChar"/>
      </w:rPr>
      <w:fldChar w:fldCharType="separate"/>
    </w:r>
    <w:r w:rsidR="00BD7DAE">
      <w:rPr>
        <w:rStyle w:val="Huisstijl-GegevenCharChar"/>
      </w:rPr>
      <w:t>3</w:t>
    </w:r>
    <w:r>
      <w:rPr>
        <w:rStyle w:val="Huisstijl-GegevenCharCha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503D" w:rsidRDefault="00B3503D">
      <w:r>
        <w:separator/>
      </w:r>
    </w:p>
  </w:footnote>
  <w:footnote w:type="continuationSeparator" w:id="0">
    <w:p w:rsidR="00B3503D" w:rsidRDefault="00B3503D">
      <w:r>
        <w:continuationSeparator/>
      </w:r>
    </w:p>
  </w:footnote>
  <w:footnote w:id="1">
    <w:p w:rsidR="008F6007" w:rsidRDefault="008F6007" w:rsidP="008F6007">
      <w:pPr>
        <w:pStyle w:val="Voetnoottekst"/>
      </w:pPr>
      <w:r>
        <w:rPr>
          <w:rStyle w:val="Voetnootmarkering"/>
        </w:rPr>
        <w:footnoteRef/>
      </w:r>
      <w:r>
        <w:t xml:space="preserve"> Verordening (EG) Nr. 562/2006 van het Europees Parlement en de Raad van 15 maart 2006</w:t>
      </w:r>
    </w:p>
    <w:p w:rsidR="008F6007" w:rsidRDefault="008F6007" w:rsidP="008F6007">
      <w:pPr>
        <w:pStyle w:val="Voetnoottekst"/>
      </w:pPr>
      <w:r>
        <w:t>tot vaststelling van een communautaire code betreffende de overschrijding van de grenzen door</w:t>
      </w:r>
    </w:p>
    <w:p w:rsidR="008F6007" w:rsidRPr="00EA754C" w:rsidRDefault="008F6007" w:rsidP="008F6007">
      <w:pPr>
        <w:pStyle w:val="Voetnoottekst"/>
        <w:rPr>
          <w:lang w:val="de-DE"/>
        </w:rPr>
      </w:pPr>
      <w:r w:rsidRPr="00EA754C">
        <w:rPr>
          <w:lang w:val="de-DE"/>
        </w:rPr>
        <w:t xml:space="preserve">personen (Schengengrenscode), Pb EU 2005, nr. </w:t>
      </w:r>
      <w:r>
        <w:rPr>
          <w:lang w:val="de-DE"/>
        </w:rPr>
        <w:t>L 105.</w:t>
      </w:r>
    </w:p>
  </w:footnote>
  <w:footnote w:id="2">
    <w:p w:rsidR="008B0838" w:rsidRDefault="008B0838" w:rsidP="008B0838">
      <w:pPr>
        <w:pStyle w:val="Voetnoottekst"/>
      </w:pPr>
      <w:r>
        <w:rPr>
          <w:rStyle w:val="Voetnootmarkering"/>
        </w:rPr>
        <w:footnoteRef/>
      </w:r>
      <w:r>
        <w:t xml:space="preserve"> </w:t>
      </w:r>
      <w:r w:rsidRPr="00CF5065">
        <w:t>Besluit van 30 mei 2011, houdende wijziging van het Vreemdelingenbesluit 2000 in verband met nadere regels over het toezicht ter bestrijding van illegaal verblijf na grensoverschrijding</w:t>
      </w:r>
      <w:r w:rsidR="00AD7C4F" w:rsidRPr="00CF5065">
        <w:t>, Stb. 201</w:t>
      </w:r>
      <w:r w:rsidRPr="00CF5065">
        <w:t>1, 262.</w:t>
      </w:r>
    </w:p>
  </w:footnote>
  <w:footnote w:id="3">
    <w:p w:rsidR="008B0838" w:rsidRDefault="008B0838">
      <w:pPr>
        <w:pStyle w:val="Voetnoottekst"/>
      </w:pPr>
      <w:r>
        <w:rPr>
          <w:rStyle w:val="Voetnootmarkering"/>
        </w:rPr>
        <w:footnoteRef/>
      </w:r>
      <w:r>
        <w:t xml:space="preserve"> </w:t>
      </w:r>
      <w:r w:rsidR="005D636D" w:rsidRPr="005D636D">
        <w:t>Hof van Justitie</w:t>
      </w:r>
      <w:r w:rsidR="005D636D">
        <w:t>,</w:t>
      </w:r>
      <w:r>
        <w:t xml:space="preserve"> 22 juni 2010, </w:t>
      </w:r>
      <w:r w:rsidRPr="008B0838">
        <w:t>C-188/10 en C-189/10.</w:t>
      </w:r>
    </w:p>
  </w:footnote>
  <w:footnote w:id="4">
    <w:p w:rsidR="00EA754C" w:rsidRDefault="00EA754C">
      <w:pPr>
        <w:pStyle w:val="Voetnoottekst"/>
      </w:pPr>
      <w:r>
        <w:rPr>
          <w:rStyle w:val="Voetnootmarkering"/>
        </w:rPr>
        <w:footnoteRef/>
      </w:r>
      <w:r>
        <w:t xml:space="preserve"> </w:t>
      </w:r>
      <w:r w:rsidR="006A19AA" w:rsidRPr="00CF5065">
        <w:t>Ab</w:t>
      </w:r>
      <w:r w:rsidRPr="00CF5065">
        <w:t>RvS, 28 december 2010, zaak nr. 201010789/1/V3,</w:t>
      </w:r>
      <w:r w:rsidR="00D57E98" w:rsidRPr="00CF5065">
        <w:t>www.raadvanstate.nl</w:t>
      </w:r>
      <w:r w:rsidRPr="00CF5065">
        <w:t>.</w:t>
      </w:r>
    </w:p>
  </w:footnote>
  <w:footnote w:id="5">
    <w:p w:rsidR="006A19AA" w:rsidRPr="009C73E2" w:rsidRDefault="006A19AA">
      <w:pPr>
        <w:pStyle w:val="Voetnoottekst"/>
      </w:pPr>
      <w:r>
        <w:rPr>
          <w:rStyle w:val="Voetnootmarkering"/>
        </w:rPr>
        <w:footnoteRef/>
      </w:r>
      <w:r w:rsidRPr="009C73E2">
        <w:t xml:space="preserve"> </w:t>
      </w:r>
      <w:r w:rsidR="005D636D" w:rsidRPr="00CF5065">
        <w:t>Hof van Justitie</w:t>
      </w:r>
      <w:r w:rsidRPr="00CF5065">
        <w:t>, 19 juli 2012, C-278/12 PPU.</w:t>
      </w:r>
    </w:p>
  </w:footnote>
  <w:footnote w:id="6">
    <w:p w:rsidR="00BB246C" w:rsidRPr="00D57E98" w:rsidRDefault="006910AB">
      <w:pPr>
        <w:pStyle w:val="Voetnoottekst"/>
      </w:pPr>
      <w:r>
        <w:rPr>
          <w:rStyle w:val="Voetnootmarkering"/>
        </w:rPr>
        <w:footnoteRef/>
      </w:r>
      <w:r w:rsidRPr="00D57E98">
        <w:t xml:space="preserve"> </w:t>
      </w:r>
      <w:r w:rsidR="00D57E98" w:rsidRPr="00CF5065">
        <w:t>AbRvS, 4 juni 2012, zaak nr. 201</w:t>
      </w:r>
      <w:r w:rsidR="00BB246C" w:rsidRPr="00CF5065">
        <w:t>204130/1/T1, www.raadvanstate.nl.</w:t>
      </w:r>
    </w:p>
  </w:footnote>
  <w:footnote w:id="7">
    <w:p w:rsidR="00097907" w:rsidRDefault="00097907" w:rsidP="00097907">
      <w:pPr>
        <w:pStyle w:val="Voetnoottekst"/>
      </w:pPr>
      <w:r>
        <w:rPr>
          <w:rStyle w:val="Voetnootmarkering"/>
        </w:rPr>
        <w:footnoteRef/>
      </w:r>
      <w:r>
        <w:t xml:space="preserve"> </w:t>
      </w:r>
      <w:r w:rsidR="005F261F" w:rsidRPr="00CF5065">
        <w:t>Www.commissieterugkeer.nl</w:t>
      </w:r>
      <w:r>
        <w:t xml:space="preserve">. </w:t>
      </w:r>
    </w:p>
  </w:footnote>
  <w:footnote w:id="8">
    <w:p w:rsidR="00E61D9A" w:rsidRDefault="00E61D9A">
      <w:pPr>
        <w:pStyle w:val="Voetnoottekst"/>
      </w:pPr>
      <w:r>
        <w:rPr>
          <w:rStyle w:val="Voetnootmarkering"/>
        </w:rPr>
        <w:footnoteRef/>
      </w:r>
      <w:r>
        <w:t xml:space="preserve"> </w:t>
      </w:r>
      <w:r w:rsidR="003F27B4" w:rsidRPr="00CF5065">
        <w:t>Kamerstukken II 2012/13, 19637, nr. 1647.</w:t>
      </w:r>
    </w:p>
  </w:footnote>
  <w:footnote w:id="9">
    <w:p w:rsidR="00B0346D" w:rsidRPr="00441304" w:rsidRDefault="00B0346D">
      <w:pPr>
        <w:pStyle w:val="Voetnoottekst"/>
        <w:rPr>
          <w:highlight w:val="yellow"/>
        </w:rPr>
      </w:pPr>
      <w:r w:rsidRPr="00441304">
        <w:rPr>
          <w:rStyle w:val="Voetnootmarkering"/>
        </w:rPr>
        <w:footnoteRef/>
      </w:r>
      <w:r w:rsidRPr="00441304">
        <w:t xml:space="preserve"> </w:t>
      </w:r>
      <w:r w:rsidR="00441304" w:rsidRPr="00441304">
        <w:t>Handelingen II 2013/14, nr.  27, item 6 , blz. 23.</w:t>
      </w:r>
    </w:p>
  </w:footnote>
  <w:footnote w:id="10">
    <w:p w:rsidR="00003B7A" w:rsidRDefault="00003B7A">
      <w:pPr>
        <w:pStyle w:val="Voetnoottekst"/>
      </w:pPr>
      <w:r>
        <w:rPr>
          <w:rStyle w:val="Voetnootmarkering"/>
        </w:rPr>
        <w:footnoteRef/>
      </w:r>
      <w:r>
        <w:t xml:space="preserve"> </w:t>
      </w:r>
      <w:r w:rsidRPr="00003B7A">
        <w:t>Kamerstukken II 2009/10, 29 515, nr. 309.</w:t>
      </w:r>
    </w:p>
  </w:footnote>
  <w:footnote w:id="11">
    <w:p w:rsidR="00B22693" w:rsidRDefault="00B22693" w:rsidP="00B22693">
      <w:pPr>
        <w:pStyle w:val="Voetnoottekst"/>
      </w:pPr>
      <w:r>
        <w:rPr>
          <w:rStyle w:val="Voetnootmarkering"/>
        </w:rPr>
        <w:footnoteRef/>
      </w:r>
      <w:r>
        <w:t xml:space="preserve"> </w:t>
      </w:r>
      <w:r w:rsidRPr="00B22693">
        <w:t>Besluit van 18 december 2013, houdende wijziging van het Vb</w:t>
      </w:r>
      <w:r>
        <w:t xml:space="preserve"> </w:t>
      </w:r>
      <w:r w:rsidRPr="00B22693">
        <w:t>2000 in verband met de uitvoering van de Dublinverordening en tot vaststelling van het tijdstip van inwerkingtreding van de wet van 11 decem</w:t>
      </w:r>
      <w:r>
        <w:t>ber 2013 tot wijziging van de Vw</w:t>
      </w:r>
      <w:r w:rsidRPr="00B22693">
        <w:t xml:space="preserve"> 2000 en de Algemene wet bestuursrecht ter uitvoering van de verordening (EU) nr. 604/2013 van het Europees Parlement en de Raad van 26 juni 2013 tot vaststelling van de criteria en instrumenten om te bepalen welke lidstaat verantwoordelijk is voor de behandeling van een verzoek om internationale bescherming dat door een onderdaan van een derde land of een staatloze bij een van de lidstaten wordt ingediend (PbEU 2013, L 180) (Stb. 2013, 550)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7F6B" w:rsidRDefault="003C7F6B">
    <w:pPr>
      <w:pStyle w:val="Koptekst"/>
    </w:pPr>
  </w:p>
  <w:p w:rsidR="003C7F6B" w:rsidRDefault="003C7F6B"/>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420B" w:rsidRDefault="00A4420B">
    <w:pPr>
      <w:pStyle w:val="Kopteks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7F6B" w:rsidRDefault="000969DC">
    <w:pPr>
      <w:pStyle w:val="Koptekst"/>
    </w:pPr>
    <w:r>
      <w:rPr>
        <w:noProof/>
        <w:sz w:val="20"/>
      </w:rPr>
      <w:drawing>
        <wp:anchor distT="0" distB="0" distL="114300" distR="114300" simplePos="0" relativeHeight="251657728" behindDoc="0" locked="1" layoutInCell="1" allowOverlap="1" wp14:anchorId="0972218F" wp14:editId="7A7E1AC0">
          <wp:simplePos x="0" y="0"/>
          <wp:positionH relativeFrom="page">
            <wp:posOffset>3810</wp:posOffset>
          </wp:positionH>
          <wp:positionV relativeFrom="page">
            <wp:posOffset>0</wp:posOffset>
          </wp:positionV>
          <wp:extent cx="6432550" cy="2393950"/>
          <wp:effectExtent l="0" t="0" r="6350" b="6350"/>
          <wp:wrapNone/>
          <wp:docPr id="122" name="Afbeelding 122" descr="wijwillemalexande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wijwillemalexander-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32550" cy="2393950"/>
                  </a:xfrm>
                  <a:prstGeom prst="rect">
                    <a:avLst/>
                  </a:prstGeom>
                  <a:noFill/>
                  <a:ln>
                    <a:noFill/>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7F6B" w:rsidRDefault="003C7F6B"/>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9B860E8"/>
    <w:lvl w:ilvl="0">
      <w:start w:val="1"/>
      <w:numFmt w:val="decimal"/>
      <w:lvlText w:val="%1."/>
      <w:lvlJc w:val="left"/>
      <w:pPr>
        <w:tabs>
          <w:tab w:val="num" w:pos="1492"/>
        </w:tabs>
        <w:ind w:left="1492" w:hanging="360"/>
      </w:pPr>
    </w:lvl>
  </w:abstractNum>
  <w:abstractNum w:abstractNumId="1">
    <w:nsid w:val="FFFFFF7D"/>
    <w:multiLevelType w:val="singleLevel"/>
    <w:tmpl w:val="C346CD82"/>
    <w:lvl w:ilvl="0">
      <w:start w:val="1"/>
      <w:numFmt w:val="decimal"/>
      <w:lvlText w:val="%1."/>
      <w:lvlJc w:val="left"/>
      <w:pPr>
        <w:tabs>
          <w:tab w:val="num" w:pos="1209"/>
        </w:tabs>
        <w:ind w:left="1209" w:hanging="360"/>
      </w:pPr>
    </w:lvl>
  </w:abstractNum>
  <w:abstractNum w:abstractNumId="2">
    <w:nsid w:val="FFFFFF7E"/>
    <w:multiLevelType w:val="singleLevel"/>
    <w:tmpl w:val="908A9F5A"/>
    <w:lvl w:ilvl="0">
      <w:start w:val="1"/>
      <w:numFmt w:val="decimal"/>
      <w:lvlText w:val="%1."/>
      <w:lvlJc w:val="left"/>
      <w:pPr>
        <w:tabs>
          <w:tab w:val="num" w:pos="926"/>
        </w:tabs>
        <w:ind w:left="926" w:hanging="360"/>
      </w:pPr>
    </w:lvl>
  </w:abstractNum>
  <w:abstractNum w:abstractNumId="3">
    <w:nsid w:val="FFFFFF7F"/>
    <w:multiLevelType w:val="singleLevel"/>
    <w:tmpl w:val="052E2706"/>
    <w:lvl w:ilvl="0">
      <w:start w:val="1"/>
      <w:numFmt w:val="decimal"/>
      <w:lvlText w:val="%1."/>
      <w:lvlJc w:val="left"/>
      <w:pPr>
        <w:tabs>
          <w:tab w:val="num" w:pos="643"/>
        </w:tabs>
        <w:ind w:left="643" w:hanging="360"/>
      </w:pPr>
    </w:lvl>
  </w:abstractNum>
  <w:abstractNum w:abstractNumId="4">
    <w:nsid w:val="FFFFFF80"/>
    <w:multiLevelType w:val="singleLevel"/>
    <w:tmpl w:val="D79C026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FC4095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360B69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nsid w:val="FFFFFF88"/>
    <w:multiLevelType w:val="singleLevel"/>
    <w:tmpl w:val="B798BA92"/>
    <w:lvl w:ilvl="0">
      <w:start w:val="1"/>
      <w:numFmt w:val="decimal"/>
      <w:lvlText w:val="%1."/>
      <w:lvlJc w:val="left"/>
      <w:pPr>
        <w:tabs>
          <w:tab w:val="num" w:pos="360"/>
        </w:tabs>
        <w:ind w:left="360" w:hanging="360"/>
      </w:pPr>
    </w:lvl>
  </w:abstractNum>
  <w:abstractNum w:abstractNumId="9">
    <w:nsid w:val="01E2619B"/>
    <w:multiLevelType w:val="hybridMultilevel"/>
    <w:tmpl w:val="64CA398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nsid w:val="07D765B7"/>
    <w:multiLevelType w:val="hybridMultilevel"/>
    <w:tmpl w:val="BF62A74C"/>
    <w:lvl w:ilvl="0" w:tplc="C9FE95D6">
      <w:start w:val="1"/>
      <w:numFmt w:val="lowerLetter"/>
      <w:pStyle w:val="lijst-alphabet"/>
      <w:lvlText w:val="%1."/>
      <w:lvlJc w:val="left"/>
      <w:pPr>
        <w:tabs>
          <w:tab w:val="num" w:pos="1040"/>
        </w:tabs>
        <w:ind w:left="1021" w:hanging="341"/>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1">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nsid w:val="0A4120A4"/>
    <w:multiLevelType w:val="hybridMultilevel"/>
    <w:tmpl w:val="1D8E1FCE"/>
    <w:lvl w:ilvl="0" w:tplc="1EDC355A">
      <w:start w:val="1"/>
      <w:numFmt w:val="bullet"/>
      <w:pStyle w:val="Lijstopsomteken"/>
      <w:lvlText w:val="•"/>
      <w:lvlJc w:val="left"/>
      <w:pPr>
        <w:tabs>
          <w:tab w:val="num" w:pos="227"/>
        </w:tabs>
        <w:ind w:left="227" w:hanging="227"/>
      </w:pPr>
      <w:rPr>
        <w:rFonts w:ascii="Verdana" w:hAnsi="Verdana" w:hint="default"/>
        <w:sz w:val="18"/>
        <w:szCs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3">
    <w:nsid w:val="0F670C83"/>
    <w:multiLevelType w:val="multilevel"/>
    <w:tmpl w:val="360E1BF0"/>
    <w:lvl w:ilvl="0">
      <w:start w:val="1"/>
      <w:numFmt w:val="bullet"/>
      <w:pStyle w:val="opsommingsvinkUit"/>
      <w:lvlText w:val=""/>
      <w:lvlJc w:val="left"/>
      <w:pPr>
        <w:tabs>
          <w:tab w:val="num" w:pos="0"/>
        </w:tabs>
        <w:ind w:left="454" w:hanging="454"/>
      </w:pPr>
      <w:rPr>
        <w:rFonts w:ascii="Wingdings" w:hAnsi="Wingdings" w:hint="default"/>
        <w:b w:val="0"/>
        <w:i w:val="0"/>
        <w:sz w:val="18"/>
      </w:rPr>
    </w:lvl>
    <w:lvl w:ilvl="1">
      <w:start w:val="1"/>
      <w:numFmt w:val="bullet"/>
      <w:lvlText w:val=""/>
      <w:lvlJc w:val="left"/>
      <w:pPr>
        <w:tabs>
          <w:tab w:val="num" w:pos="0"/>
        </w:tabs>
        <w:ind w:left="907" w:hanging="453"/>
      </w:pPr>
      <w:rPr>
        <w:rFonts w:ascii="Wingdings" w:hAnsi="Wingdings" w:hint="default"/>
        <w:b w:val="0"/>
        <w:i w:val="0"/>
        <w:sz w:val="18"/>
      </w:rPr>
    </w:lvl>
    <w:lvl w:ilvl="2">
      <w:start w:val="1"/>
      <w:numFmt w:val="bullet"/>
      <w:lvlText w:val=""/>
      <w:lvlJc w:val="left"/>
      <w:pPr>
        <w:tabs>
          <w:tab w:val="num" w:pos="0"/>
        </w:tabs>
        <w:ind w:left="1361" w:hanging="454"/>
      </w:pPr>
      <w:rPr>
        <w:rFonts w:ascii="Wingdings" w:hAnsi="Wingdings" w:hint="default"/>
        <w:b w:val="0"/>
        <w:i w:val="0"/>
        <w:sz w:val="18"/>
      </w:rPr>
    </w:lvl>
    <w:lvl w:ilvl="3">
      <w:start w:val="1"/>
      <w:numFmt w:val="bullet"/>
      <w:lvlText w:val=""/>
      <w:lvlJc w:val="left"/>
      <w:pPr>
        <w:tabs>
          <w:tab w:val="num" w:pos="0"/>
        </w:tabs>
        <w:ind w:left="1814" w:hanging="453"/>
      </w:pPr>
      <w:rPr>
        <w:rFonts w:ascii="Wingdings" w:hAnsi="Wingdings" w:hint="default"/>
        <w:b w:val="0"/>
        <w:i w:val="0"/>
        <w:sz w:val="18"/>
      </w:rPr>
    </w:lvl>
    <w:lvl w:ilvl="4">
      <w:start w:val="1"/>
      <w:numFmt w:val="bullet"/>
      <w:lvlText w:val=""/>
      <w:lvlJc w:val="left"/>
      <w:pPr>
        <w:tabs>
          <w:tab w:val="num" w:pos="0"/>
        </w:tabs>
        <w:ind w:left="2268" w:hanging="454"/>
      </w:pPr>
      <w:rPr>
        <w:rFonts w:ascii="Wingdings" w:hAnsi="Wingdings" w:hint="default"/>
        <w:b w:val="0"/>
        <w:i w:val="0"/>
        <w:sz w:val="18"/>
      </w:rPr>
    </w:lvl>
    <w:lvl w:ilvl="5">
      <w:start w:val="1"/>
      <w:numFmt w:val="bullet"/>
      <w:lvlText w:val=""/>
      <w:lvlJc w:val="left"/>
      <w:pPr>
        <w:tabs>
          <w:tab w:val="num" w:pos="0"/>
        </w:tabs>
        <w:ind w:left="2722" w:hanging="454"/>
      </w:pPr>
      <w:rPr>
        <w:rFonts w:ascii="Wingdings" w:hAnsi="Wingdings" w:hint="default"/>
        <w:b w:val="0"/>
        <w:i w:val="0"/>
        <w:sz w:val="18"/>
      </w:rPr>
    </w:lvl>
    <w:lvl w:ilvl="6">
      <w:start w:val="1"/>
      <w:numFmt w:val="bullet"/>
      <w:lvlText w:val=""/>
      <w:lvlJc w:val="left"/>
      <w:pPr>
        <w:tabs>
          <w:tab w:val="num" w:pos="0"/>
        </w:tabs>
        <w:ind w:left="3175" w:hanging="453"/>
      </w:pPr>
      <w:rPr>
        <w:rFonts w:ascii="Wingdings" w:hAnsi="Wingdings" w:hint="default"/>
        <w:b w:val="0"/>
        <w:i w:val="0"/>
        <w:sz w:val="18"/>
      </w:rPr>
    </w:lvl>
    <w:lvl w:ilvl="7">
      <w:start w:val="1"/>
      <w:numFmt w:val="bullet"/>
      <w:lvlText w:val=""/>
      <w:lvlJc w:val="left"/>
      <w:pPr>
        <w:tabs>
          <w:tab w:val="num" w:pos="0"/>
        </w:tabs>
        <w:ind w:left="3629" w:hanging="454"/>
      </w:pPr>
      <w:rPr>
        <w:rFonts w:ascii="Wingdings" w:hAnsi="Wingdings" w:hint="default"/>
        <w:b w:val="0"/>
        <w:i w:val="0"/>
        <w:sz w:val="18"/>
      </w:rPr>
    </w:lvl>
    <w:lvl w:ilvl="8">
      <w:start w:val="1"/>
      <w:numFmt w:val="bullet"/>
      <w:lvlText w:val=""/>
      <w:lvlJc w:val="left"/>
      <w:pPr>
        <w:tabs>
          <w:tab w:val="num" w:pos="0"/>
        </w:tabs>
        <w:ind w:left="4082" w:hanging="453"/>
      </w:pPr>
      <w:rPr>
        <w:rFonts w:ascii="Wingdings" w:hAnsi="Wingdings" w:hint="default"/>
        <w:b w:val="0"/>
        <w:i w:val="0"/>
        <w:sz w:val="18"/>
      </w:rPr>
    </w:lvl>
  </w:abstractNum>
  <w:abstractNum w:abstractNumId="14">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nsid w:val="1E555FEF"/>
    <w:multiLevelType w:val="hybridMultilevel"/>
    <w:tmpl w:val="50F0923E"/>
    <w:lvl w:ilvl="0" w:tplc="A2CC0C32">
      <w:start w:val="1"/>
      <w:numFmt w:val="bullet"/>
      <w:pStyle w:val="Lijstopsomteken2"/>
      <w:lvlText w:val="–"/>
      <w:lvlJc w:val="left"/>
      <w:pPr>
        <w:tabs>
          <w:tab w:val="num" w:pos="227"/>
        </w:tabs>
        <w:ind w:left="227" w:firstLine="0"/>
      </w:pPr>
      <w:rPr>
        <w:rFonts w:ascii="Verdana" w:hAnsi="Verdana"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6">
    <w:nsid w:val="24D3775F"/>
    <w:multiLevelType w:val="hybridMultilevel"/>
    <w:tmpl w:val="10EC8C0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nsid w:val="2AA07A3F"/>
    <w:multiLevelType w:val="hybridMultilevel"/>
    <w:tmpl w:val="00063CC8"/>
    <w:lvl w:ilvl="0" w:tplc="90A69998">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nsid w:val="321F08A1"/>
    <w:multiLevelType w:val="multilevel"/>
    <w:tmpl w:val="61A21AA6"/>
    <w:lvl w:ilvl="0">
      <w:start w:val="1"/>
      <w:numFmt w:val="bullet"/>
      <w:pStyle w:val="opsomming-bolletjesjustitie"/>
      <w:lvlText w:val=""/>
      <w:lvlJc w:val="left"/>
      <w:pPr>
        <w:tabs>
          <w:tab w:val="num" w:pos="0"/>
        </w:tabs>
        <w:ind w:left="454" w:hanging="454"/>
      </w:pPr>
      <w:rPr>
        <w:rFonts w:ascii="Symbol" w:hAnsi="Symbol" w:hint="default"/>
        <w:b w:val="0"/>
        <w:i w:val="0"/>
        <w:color w:val="auto"/>
        <w:sz w:val="18"/>
      </w:rPr>
    </w:lvl>
    <w:lvl w:ilvl="1">
      <w:start w:val="1"/>
      <w:numFmt w:val="bullet"/>
      <w:lvlText w:val=""/>
      <w:lvlJc w:val="left"/>
      <w:pPr>
        <w:tabs>
          <w:tab w:val="num" w:pos="0"/>
        </w:tabs>
        <w:ind w:left="907" w:hanging="453"/>
      </w:pPr>
      <w:rPr>
        <w:rFonts w:ascii="Symbol" w:hAnsi="Symbol" w:hint="default"/>
        <w:b w:val="0"/>
        <w:i w:val="0"/>
        <w:sz w:val="18"/>
      </w:rPr>
    </w:lvl>
    <w:lvl w:ilvl="2">
      <w:start w:val="1"/>
      <w:numFmt w:val="bullet"/>
      <w:lvlText w:val=""/>
      <w:lvlJc w:val="left"/>
      <w:pPr>
        <w:tabs>
          <w:tab w:val="num" w:pos="0"/>
        </w:tabs>
        <w:ind w:left="1361" w:hanging="454"/>
      </w:pPr>
      <w:rPr>
        <w:rFonts w:ascii="Symbol" w:hAnsi="Symbol" w:hint="default"/>
        <w:b w:val="0"/>
        <w:i w:val="0"/>
        <w:color w:val="auto"/>
        <w:sz w:val="18"/>
      </w:rPr>
    </w:lvl>
    <w:lvl w:ilvl="3">
      <w:start w:val="1"/>
      <w:numFmt w:val="bullet"/>
      <w:lvlText w:val=""/>
      <w:lvlJc w:val="left"/>
      <w:pPr>
        <w:tabs>
          <w:tab w:val="num" w:pos="0"/>
        </w:tabs>
        <w:ind w:left="1814" w:hanging="453"/>
      </w:pPr>
      <w:rPr>
        <w:rFonts w:ascii="Symbol" w:hAnsi="Symbol" w:hint="default"/>
        <w:b w:val="0"/>
        <w:i w:val="0"/>
        <w:color w:val="auto"/>
        <w:sz w:val="18"/>
      </w:rPr>
    </w:lvl>
    <w:lvl w:ilvl="4">
      <w:start w:val="1"/>
      <w:numFmt w:val="bullet"/>
      <w:lvlText w:val=""/>
      <w:lvlJc w:val="left"/>
      <w:pPr>
        <w:tabs>
          <w:tab w:val="num" w:pos="0"/>
        </w:tabs>
        <w:ind w:left="2268" w:hanging="454"/>
      </w:pPr>
      <w:rPr>
        <w:rFonts w:ascii="Symbol" w:hAnsi="Symbol" w:hint="default"/>
        <w:b w:val="0"/>
        <w:i w:val="0"/>
        <w:color w:val="auto"/>
        <w:sz w:val="18"/>
      </w:rPr>
    </w:lvl>
    <w:lvl w:ilvl="5">
      <w:start w:val="1"/>
      <w:numFmt w:val="bullet"/>
      <w:lvlText w:val=""/>
      <w:lvlJc w:val="left"/>
      <w:pPr>
        <w:tabs>
          <w:tab w:val="num" w:pos="0"/>
        </w:tabs>
        <w:ind w:left="2722" w:hanging="454"/>
      </w:pPr>
      <w:rPr>
        <w:rFonts w:ascii="Symbol" w:hAnsi="Symbol" w:hint="default"/>
        <w:b w:val="0"/>
        <w:i w:val="0"/>
        <w:color w:val="auto"/>
        <w:sz w:val="18"/>
      </w:rPr>
    </w:lvl>
    <w:lvl w:ilvl="6">
      <w:start w:val="1"/>
      <w:numFmt w:val="bullet"/>
      <w:lvlText w:val=""/>
      <w:lvlJc w:val="left"/>
      <w:pPr>
        <w:tabs>
          <w:tab w:val="num" w:pos="1721"/>
        </w:tabs>
        <w:ind w:left="3175" w:hanging="453"/>
      </w:pPr>
      <w:rPr>
        <w:rFonts w:ascii="Symbol" w:hAnsi="Symbol" w:hint="default"/>
        <w:b w:val="0"/>
        <w:i w:val="0"/>
        <w:color w:val="auto"/>
        <w:sz w:val="18"/>
      </w:rPr>
    </w:lvl>
    <w:lvl w:ilvl="7">
      <w:start w:val="1"/>
      <w:numFmt w:val="bullet"/>
      <w:lvlText w:val=""/>
      <w:lvlJc w:val="left"/>
      <w:pPr>
        <w:tabs>
          <w:tab w:val="num" w:pos="0"/>
        </w:tabs>
        <w:ind w:left="3629" w:hanging="454"/>
      </w:pPr>
      <w:rPr>
        <w:rFonts w:ascii="Symbol" w:hAnsi="Symbol" w:hint="default"/>
        <w:b w:val="0"/>
        <w:i w:val="0"/>
        <w:color w:val="auto"/>
        <w:sz w:val="18"/>
      </w:rPr>
    </w:lvl>
    <w:lvl w:ilvl="8">
      <w:start w:val="1"/>
      <w:numFmt w:val="bullet"/>
      <w:lvlText w:val=""/>
      <w:lvlJc w:val="left"/>
      <w:pPr>
        <w:tabs>
          <w:tab w:val="num" w:pos="0"/>
        </w:tabs>
        <w:ind w:left="4082" w:hanging="453"/>
      </w:pPr>
      <w:rPr>
        <w:rFonts w:ascii="Symbol" w:hAnsi="Symbol" w:hint="default"/>
        <w:b w:val="0"/>
        <w:i w:val="0"/>
        <w:color w:val="auto"/>
        <w:sz w:val="18"/>
      </w:rPr>
    </w:lvl>
  </w:abstractNum>
  <w:abstractNum w:abstractNumId="19">
    <w:nsid w:val="35524F07"/>
    <w:multiLevelType w:val="hybridMultilevel"/>
    <w:tmpl w:val="9704FBF6"/>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0">
    <w:nsid w:val="3EE21359"/>
    <w:multiLevelType w:val="hybridMultilevel"/>
    <w:tmpl w:val="218AFB6A"/>
    <w:lvl w:ilvl="0" w:tplc="82B619A0">
      <w:start w:val="1"/>
      <w:numFmt w:val="decimal"/>
      <w:pStyle w:val="lijst-nummer1"/>
      <w:lvlText w:val="%1."/>
      <w:lvlJc w:val="left"/>
      <w:pPr>
        <w:tabs>
          <w:tab w:val="num" w:pos="720"/>
        </w:tabs>
        <w:ind w:left="720" w:hanging="363"/>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1">
    <w:nsid w:val="3F2C4A26"/>
    <w:multiLevelType w:val="multilevel"/>
    <w:tmpl w:val="A2ECAAD8"/>
    <w:lvl w:ilvl="0">
      <w:start w:val="1"/>
      <w:numFmt w:val="decimal"/>
      <w:pStyle w:val="kop1justitie"/>
      <w:lvlText w:val="%1."/>
      <w:lvlJc w:val="left"/>
      <w:pPr>
        <w:tabs>
          <w:tab w:val="num" w:pos="851"/>
        </w:tabs>
        <w:ind w:left="851" w:hanging="851"/>
      </w:pPr>
      <w:rPr>
        <w:rFonts w:ascii="Verdana" w:hAnsi="Verdana" w:hint="default"/>
        <w:b/>
        <w:i w:val="0"/>
        <w:sz w:val="30"/>
      </w:rPr>
    </w:lvl>
    <w:lvl w:ilvl="1">
      <w:start w:val="1"/>
      <w:numFmt w:val="decimal"/>
      <w:pStyle w:val="kop2justitie"/>
      <w:lvlText w:val="%1.%2"/>
      <w:lvlJc w:val="left"/>
      <w:pPr>
        <w:tabs>
          <w:tab w:val="num" w:pos="851"/>
        </w:tabs>
        <w:ind w:left="851" w:hanging="851"/>
      </w:pPr>
      <w:rPr>
        <w:rFonts w:ascii="Verdana" w:hAnsi="Verdana" w:hint="default"/>
        <w:b/>
        <w:i w:val="0"/>
        <w:sz w:val="26"/>
      </w:rPr>
    </w:lvl>
    <w:lvl w:ilvl="2">
      <w:start w:val="1"/>
      <w:numFmt w:val="decimal"/>
      <w:pStyle w:val="kop3justitie"/>
      <w:lvlText w:val="%1.%2.%3"/>
      <w:lvlJc w:val="left"/>
      <w:pPr>
        <w:tabs>
          <w:tab w:val="num" w:pos="851"/>
        </w:tabs>
        <w:ind w:left="851" w:hanging="851"/>
      </w:pPr>
      <w:rPr>
        <w:rFonts w:ascii="Verdana" w:hAnsi="Verdana" w:hint="default"/>
        <w:b/>
        <w:i w:val="0"/>
        <w:sz w:val="22"/>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nsid w:val="43723CD9"/>
    <w:multiLevelType w:val="hybridMultilevel"/>
    <w:tmpl w:val="6F208BEA"/>
    <w:lvl w:ilvl="0" w:tplc="05B8D43A">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4">
    <w:nsid w:val="559F023E"/>
    <w:multiLevelType w:val="hybridMultilevel"/>
    <w:tmpl w:val="9BA8086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nsid w:val="59EA3DDA"/>
    <w:multiLevelType w:val="multilevel"/>
    <w:tmpl w:val="E84A0424"/>
    <w:lvl w:ilvl="0">
      <w:start w:val="1"/>
      <w:numFmt w:val="bullet"/>
      <w:pStyle w:val="opsomming-streepjesjustitie"/>
      <w:lvlText w:val=""/>
      <w:lvlJc w:val="left"/>
      <w:pPr>
        <w:tabs>
          <w:tab w:val="num" w:pos="0"/>
        </w:tabs>
        <w:ind w:left="907" w:hanging="453"/>
      </w:pPr>
      <w:rPr>
        <w:rFonts w:ascii="Symbol" w:hAnsi="Symbol" w:hint="default"/>
        <w:b w:val="0"/>
        <w:i w:val="0"/>
        <w:sz w:val="18"/>
      </w:rPr>
    </w:lvl>
    <w:lvl w:ilvl="1">
      <w:start w:val="1"/>
      <w:numFmt w:val="bullet"/>
      <w:lvlText w:val=""/>
      <w:lvlJc w:val="left"/>
      <w:pPr>
        <w:tabs>
          <w:tab w:val="num" w:pos="0"/>
        </w:tabs>
        <w:ind w:left="1361" w:hanging="454"/>
      </w:pPr>
      <w:rPr>
        <w:rFonts w:ascii="Symbol" w:hAnsi="Symbol" w:hint="default"/>
        <w:b w:val="0"/>
        <w:i w:val="0"/>
        <w:color w:val="auto"/>
        <w:sz w:val="18"/>
      </w:rPr>
    </w:lvl>
    <w:lvl w:ilvl="2">
      <w:start w:val="1"/>
      <w:numFmt w:val="bullet"/>
      <w:lvlText w:val=""/>
      <w:lvlJc w:val="left"/>
      <w:pPr>
        <w:tabs>
          <w:tab w:val="num" w:pos="0"/>
        </w:tabs>
        <w:ind w:left="1814" w:hanging="453"/>
      </w:pPr>
      <w:rPr>
        <w:rFonts w:ascii="Symbol" w:hAnsi="Symbol" w:hint="default"/>
        <w:b w:val="0"/>
        <w:i w:val="0"/>
        <w:sz w:val="18"/>
      </w:rPr>
    </w:lvl>
    <w:lvl w:ilvl="3">
      <w:start w:val="1"/>
      <w:numFmt w:val="bullet"/>
      <w:lvlText w:val=""/>
      <w:lvlJc w:val="left"/>
      <w:pPr>
        <w:tabs>
          <w:tab w:val="num" w:pos="0"/>
        </w:tabs>
        <w:ind w:left="2268" w:hanging="454"/>
      </w:pPr>
      <w:rPr>
        <w:rFonts w:ascii="Symbol" w:hAnsi="Symbol" w:hint="default"/>
        <w:b w:val="0"/>
        <w:i w:val="0"/>
        <w:color w:val="auto"/>
        <w:sz w:val="18"/>
      </w:rPr>
    </w:lvl>
    <w:lvl w:ilvl="4">
      <w:start w:val="1"/>
      <w:numFmt w:val="bullet"/>
      <w:lvlText w:val=""/>
      <w:lvlJc w:val="left"/>
      <w:pPr>
        <w:tabs>
          <w:tab w:val="num" w:pos="0"/>
        </w:tabs>
        <w:ind w:left="2722" w:hanging="454"/>
      </w:pPr>
      <w:rPr>
        <w:rFonts w:ascii="Symbol" w:hAnsi="Symbol" w:hint="default"/>
        <w:b w:val="0"/>
        <w:i w:val="0"/>
        <w:color w:val="auto"/>
        <w:sz w:val="18"/>
      </w:rPr>
    </w:lvl>
    <w:lvl w:ilvl="5">
      <w:start w:val="1"/>
      <w:numFmt w:val="bullet"/>
      <w:lvlText w:val=""/>
      <w:lvlJc w:val="left"/>
      <w:pPr>
        <w:tabs>
          <w:tab w:val="num" w:pos="0"/>
        </w:tabs>
        <w:ind w:left="3175" w:hanging="453"/>
      </w:pPr>
      <w:rPr>
        <w:rFonts w:ascii="Symbol" w:hAnsi="Symbol" w:hint="default"/>
        <w:b w:val="0"/>
        <w:i w:val="0"/>
        <w:color w:val="auto"/>
        <w:sz w:val="18"/>
      </w:rPr>
    </w:lvl>
    <w:lvl w:ilvl="6">
      <w:start w:val="1"/>
      <w:numFmt w:val="bullet"/>
      <w:lvlText w:val=""/>
      <w:lvlJc w:val="left"/>
      <w:pPr>
        <w:tabs>
          <w:tab w:val="num" w:pos="0"/>
        </w:tabs>
        <w:ind w:left="3629" w:hanging="454"/>
      </w:pPr>
      <w:rPr>
        <w:rFonts w:ascii="Symbol" w:hAnsi="Symbol" w:hint="default"/>
        <w:b w:val="0"/>
        <w:i w:val="0"/>
        <w:color w:val="auto"/>
        <w:sz w:val="18"/>
      </w:rPr>
    </w:lvl>
    <w:lvl w:ilvl="7">
      <w:start w:val="1"/>
      <w:numFmt w:val="bullet"/>
      <w:lvlText w:val=""/>
      <w:lvlJc w:val="left"/>
      <w:pPr>
        <w:tabs>
          <w:tab w:val="num" w:pos="0"/>
        </w:tabs>
        <w:ind w:left="4082" w:hanging="453"/>
      </w:pPr>
      <w:rPr>
        <w:rFonts w:ascii="Symbol" w:hAnsi="Symbol" w:hint="default"/>
        <w:b w:val="0"/>
        <w:i w:val="0"/>
        <w:color w:val="auto"/>
        <w:sz w:val="18"/>
      </w:rPr>
    </w:lvl>
    <w:lvl w:ilvl="8">
      <w:start w:val="1"/>
      <w:numFmt w:val="bullet"/>
      <w:lvlText w:val=""/>
      <w:lvlJc w:val="left"/>
      <w:pPr>
        <w:tabs>
          <w:tab w:val="num" w:pos="0"/>
        </w:tabs>
        <w:ind w:left="4536" w:hanging="454"/>
      </w:pPr>
      <w:rPr>
        <w:rFonts w:ascii="Symbol" w:hAnsi="Symbol" w:hint="default"/>
        <w:b w:val="0"/>
        <w:i w:val="0"/>
        <w:color w:val="auto"/>
        <w:sz w:val="18"/>
      </w:rPr>
    </w:lvl>
  </w:abstractNum>
  <w:abstractNum w:abstractNumId="26">
    <w:nsid w:val="5ECC7F89"/>
    <w:multiLevelType w:val="multilevel"/>
    <w:tmpl w:val="81E48ACE"/>
    <w:lvl w:ilvl="0">
      <w:start w:val="1"/>
      <w:numFmt w:val="decimal"/>
      <w:pStyle w:val="opsomming-cijfersjustitie"/>
      <w:lvlText w:val="%1"/>
      <w:lvlJc w:val="left"/>
      <w:pPr>
        <w:tabs>
          <w:tab w:val="num" w:pos="0"/>
        </w:tabs>
        <w:ind w:left="454" w:hanging="454"/>
      </w:pPr>
      <w:rPr>
        <w:rFonts w:ascii="Verdana" w:hAnsi="Verdana" w:hint="default"/>
        <w:b w:val="0"/>
        <w:i w:val="0"/>
        <w:sz w:val="18"/>
      </w:rPr>
    </w:lvl>
    <w:lvl w:ilvl="1">
      <w:start w:val="1"/>
      <w:numFmt w:val="lowerLetter"/>
      <w:lvlText w:val="%2"/>
      <w:lvlJc w:val="left"/>
      <w:pPr>
        <w:tabs>
          <w:tab w:val="num" w:pos="0"/>
        </w:tabs>
        <w:ind w:left="907" w:hanging="453"/>
      </w:pPr>
      <w:rPr>
        <w:rFonts w:ascii="Verdana" w:hAnsi="Verdana" w:hint="default"/>
        <w:b w:val="0"/>
        <w:i w:val="0"/>
        <w:sz w:val="18"/>
      </w:rPr>
    </w:lvl>
    <w:lvl w:ilvl="2">
      <w:start w:val="1"/>
      <w:numFmt w:val="lowerRoman"/>
      <w:lvlText w:val="%3"/>
      <w:lvlJc w:val="left"/>
      <w:pPr>
        <w:tabs>
          <w:tab w:val="num" w:pos="0"/>
        </w:tabs>
        <w:ind w:left="1361" w:hanging="454"/>
      </w:pPr>
      <w:rPr>
        <w:rFonts w:ascii="Verdana" w:hAnsi="Verdana" w:hint="default"/>
        <w:b w:val="0"/>
        <w:i w:val="0"/>
        <w:sz w:val="18"/>
      </w:rPr>
    </w:lvl>
    <w:lvl w:ilvl="3">
      <w:start w:val="1"/>
      <w:numFmt w:val="decimal"/>
      <w:lvlText w:val="%4"/>
      <w:lvlJc w:val="left"/>
      <w:pPr>
        <w:tabs>
          <w:tab w:val="num" w:pos="0"/>
        </w:tabs>
        <w:ind w:left="1814" w:hanging="453"/>
      </w:pPr>
      <w:rPr>
        <w:rFonts w:ascii="Verdana" w:hAnsi="Verdana" w:hint="default"/>
        <w:b w:val="0"/>
        <w:i w:val="0"/>
        <w:sz w:val="18"/>
      </w:rPr>
    </w:lvl>
    <w:lvl w:ilvl="4">
      <w:start w:val="1"/>
      <w:numFmt w:val="lowerLetter"/>
      <w:lvlText w:val="%5"/>
      <w:lvlJc w:val="left"/>
      <w:pPr>
        <w:tabs>
          <w:tab w:val="num" w:pos="0"/>
        </w:tabs>
        <w:ind w:left="2268" w:hanging="454"/>
      </w:pPr>
      <w:rPr>
        <w:rFonts w:ascii="Verdana" w:hAnsi="Verdana" w:hint="default"/>
        <w:b w:val="0"/>
        <w:i w:val="0"/>
        <w:sz w:val="18"/>
      </w:rPr>
    </w:lvl>
    <w:lvl w:ilvl="5">
      <w:start w:val="1"/>
      <w:numFmt w:val="lowerRoman"/>
      <w:lvlText w:val="%6"/>
      <w:lvlJc w:val="left"/>
      <w:pPr>
        <w:tabs>
          <w:tab w:val="num" w:pos="0"/>
        </w:tabs>
        <w:ind w:left="2722" w:hanging="454"/>
      </w:pPr>
      <w:rPr>
        <w:rFonts w:ascii="Verdana" w:hAnsi="Verdana" w:hint="default"/>
        <w:b w:val="0"/>
        <w:i w:val="0"/>
        <w:sz w:val="18"/>
      </w:rPr>
    </w:lvl>
    <w:lvl w:ilvl="6">
      <w:start w:val="1"/>
      <w:numFmt w:val="decimal"/>
      <w:lvlText w:val="%7"/>
      <w:lvlJc w:val="left"/>
      <w:pPr>
        <w:tabs>
          <w:tab w:val="num" w:pos="0"/>
        </w:tabs>
        <w:ind w:left="3175" w:hanging="453"/>
      </w:pPr>
      <w:rPr>
        <w:rFonts w:ascii="Verdana" w:hAnsi="Verdana" w:hint="default"/>
        <w:b w:val="0"/>
        <w:i w:val="0"/>
        <w:sz w:val="18"/>
      </w:rPr>
    </w:lvl>
    <w:lvl w:ilvl="7">
      <w:start w:val="1"/>
      <w:numFmt w:val="lowerLetter"/>
      <w:lvlText w:val="%8"/>
      <w:lvlJc w:val="left"/>
      <w:pPr>
        <w:tabs>
          <w:tab w:val="num" w:pos="0"/>
        </w:tabs>
        <w:ind w:left="3629" w:hanging="454"/>
      </w:pPr>
      <w:rPr>
        <w:rFonts w:ascii="Verdana" w:hAnsi="Verdana" w:hint="default"/>
        <w:b w:val="0"/>
        <w:i w:val="0"/>
        <w:sz w:val="18"/>
      </w:rPr>
    </w:lvl>
    <w:lvl w:ilvl="8">
      <w:start w:val="1"/>
      <w:numFmt w:val="lowerRoman"/>
      <w:lvlText w:val="%9"/>
      <w:lvlJc w:val="left"/>
      <w:pPr>
        <w:tabs>
          <w:tab w:val="num" w:pos="0"/>
        </w:tabs>
        <w:ind w:left="4082" w:hanging="453"/>
      </w:pPr>
      <w:rPr>
        <w:rFonts w:ascii="Verdana" w:hAnsi="Verdana" w:hint="default"/>
        <w:b w:val="0"/>
        <w:i w:val="0"/>
        <w:sz w:val="18"/>
      </w:rPr>
    </w:lvl>
  </w:abstractNum>
  <w:abstractNum w:abstractNumId="27">
    <w:nsid w:val="5FEC188A"/>
    <w:multiLevelType w:val="multilevel"/>
    <w:tmpl w:val="5E426782"/>
    <w:lvl w:ilvl="0">
      <w:start w:val="1"/>
      <w:numFmt w:val="bullet"/>
      <w:pStyle w:val="opsommingsvinkAan"/>
      <w:lvlText w:val=""/>
      <w:lvlJc w:val="left"/>
      <w:pPr>
        <w:tabs>
          <w:tab w:val="num" w:pos="0"/>
        </w:tabs>
        <w:ind w:left="454" w:hanging="454"/>
      </w:pPr>
      <w:rPr>
        <w:rFonts w:ascii="Wingdings" w:hAnsi="Wingdings" w:hint="default"/>
        <w:b w:val="0"/>
        <w:i w:val="0"/>
        <w:sz w:val="18"/>
      </w:rPr>
    </w:lvl>
    <w:lvl w:ilvl="1">
      <w:start w:val="1"/>
      <w:numFmt w:val="bullet"/>
      <w:lvlText w:val=""/>
      <w:lvlJc w:val="left"/>
      <w:pPr>
        <w:tabs>
          <w:tab w:val="num" w:pos="0"/>
        </w:tabs>
        <w:ind w:left="907" w:hanging="453"/>
      </w:pPr>
      <w:rPr>
        <w:rFonts w:ascii="Wingdings" w:hAnsi="Wingdings" w:hint="default"/>
        <w:b w:val="0"/>
        <w:i w:val="0"/>
        <w:sz w:val="18"/>
      </w:rPr>
    </w:lvl>
    <w:lvl w:ilvl="2">
      <w:start w:val="1"/>
      <w:numFmt w:val="bullet"/>
      <w:lvlText w:val=""/>
      <w:lvlJc w:val="left"/>
      <w:pPr>
        <w:tabs>
          <w:tab w:val="num" w:pos="0"/>
        </w:tabs>
        <w:ind w:left="1361" w:hanging="454"/>
      </w:pPr>
      <w:rPr>
        <w:rFonts w:ascii="Wingdings" w:hAnsi="Wingdings" w:hint="default"/>
        <w:b w:val="0"/>
        <w:i w:val="0"/>
        <w:sz w:val="18"/>
      </w:rPr>
    </w:lvl>
    <w:lvl w:ilvl="3">
      <w:start w:val="1"/>
      <w:numFmt w:val="bullet"/>
      <w:lvlText w:val=""/>
      <w:lvlJc w:val="left"/>
      <w:pPr>
        <w:tabs>
          <w:tab w:val="num" w:pos="0"/>
        </w:tabs>
        <w:ind w:left="1814" w:hanging="453"/>
      </w:pPr>
      <w:rPr>
        <w:rFonts w:ascii="Wingdings" w:hAnsi="Wingdings" w:hint="default"/>
        <w:b w:val="0"/>
        <w:i w:val="0"/>
        <w:sz w:val="18"/>
      </w:rPr>
    </w:lvl>
    <w:lvl w:ilvl="4">
      <w:start w:val="1"/>
      <w:numFmt w:val="bullet"/>
      <w:lvlText w:val=""/>
      <w:lvlJc w:val="left"/>
      <w:pPr>
        <w:tabs>
          <w:tab w:val="num" w:pos="0"/>
        </w:tabs>
        <w:ind w:left="2268" w:hanging="454"/>
      </w:pPr>
      <w:rPr>
        <w:rFonts w:ascii="Wingdings" w:hAnsi="Wingdings" w:hint="default"/>
        <w:b w:val="0"/>
        <w:i w:val="0"/>
        <w:sz w:val="18"/>
      </w:rPr>
    </w:lvl>
    <w:lvl w:ilvl="5">
      <w:start w:val="1"/>
      <w:numFmt w:val="bullet"/>
      <w:lvlText w:val=""/>
      <w:lvlJc w:val="left"/>
      <w:pPr>
        <w:tabs>
          <w:tab w:val="num" w:pos="0"/>
        </w:tabs>
        <w:ind w:left="2722" w:hanging="454"/>
      </w:pPr>
      <w:rPr>
        <w:rFonts w:ascii="Wingdings" w:hAnsi="Wingdings" w:hint="default"/>
        <w:b w:val="0"/>
        <w:i w:val="0"/>
        <w:sz w:val="18"/>
      </w:rPr>
    </w:lvl>
    <w:lvl w:ilvl="6">
      <w:start w:val="1"/>
      <w:numFmt w:val="bullet"/>
      <w:lvlText w:val=""/>
      <w:lvlJc w:val="left"/>
      <w:pPr>
        <w:tabs>
          <w:tab w:val="num" w:pos="0"/>
        </w:tabs>
        <w:ind w:left="3175" w:hanging="453"/>
      </w:pPr>
      <w:rPr>
        <w:rFonts w:ascii="Wingdings" w:hAnsi="Wingdings" w:hint="default"/>
        <w:b w:val="0"/>
        <w:i w:val="0"/>
        <w:sz w:val="18"/>
      </w:rPr>
    </w:lvl>
    <w:lvl w:ilvl="7">
      <w:start w:val="1"/>
      <w:numFmt w:val="bullet"/>
      <w:lvlText w:val=""/>
      <w:lvlJc w:val="left"/>
      <w:pPr>
        <w:tabs>
          <w:tab w:val="num" w:pos="0"/>
        </w:tabs>
        <w:ind w:left="3629" w:hanging="454"/>
      </w:pPr>
      <w:rPr>
        <w:rFonts w:ascii="Wingdings" w:hAnsi="Wingdings" w:hint="default"/>
        <w:b w:val="0"/>
        <w:i w:val="0"/>
        <w:sz w:val="18"/>
      </w:rPr>
    </w:lvl>
    <w:lvl w:ilvl="8">
      <w:start w:val="1"/>
      <w:numFmt w:val="bullet"/>
      <w:lvlText w:val=""/>
      <w:lvlJc w:val="left"/>
      <w:pPr>
        <w:tabs>
          <w:tab w:val="num" w:pos="0"/>
        </w:tabs>
        <w:ind w:left="4082" w:hanging="453"/>
      </w:pPr>
      <w:rPr>
        <w:rFonts w:ascii="Wingdings" w:hAnsi="Wingdings" w:hint="default"/>
        <w:b w:val="0"/>
        <w:i w:val="0"/>
        <w:sz w:val="18"/>
      </w:rPr>
    </w:lvl>
  </w:abstractNum>
  <w:abstractNum w:abstractNumId="28">
    <w:nsid w:val="6B9038CA"/>
    <w:multiLevelType w:val="hybridMultilevel"/>
    <w:tmpl w:val="9E06DFB6"/>
    <w:lvl w:ilvl="0" w:tplc="5CA48B90">
      <w:start w:val="1"/>
      <w:numFmt w:val="decimal"/>
      <w:lvlText w:val="%1)"/>
      <w:lvlJc w:val="left"/>
      <w:pPr>
        <w:ind w:left="495" w:hanging="360"/>
      </w:pPr>
      <w:rPr>
        <w:rFonts w:hint="default"/>
      </w:rPr>
    </w:lvl>
    <w:lvl w:ilvl="1" w:tplc="04130019" w:tentative="1">
      <w:start w:val="1"/>
      <w:numFmt w:val="lowerLetter"/>
      <w:lvlText w:val="%2."/>
      <w:lvlJc w:val="left"/>
      <w:pPr>
        <w:ind w:left="1215" w:hanging="360"/>
      </w:pPr>
    </w:lvl>
    <w:lvl w:ilvl="2" w:tplc="0413001B" w:tentative="1">
      <w:start w:val="1"/>
      <w:numFmt w:val="lowerRoman"/>
      <w:lvlText w:val="%3."/>
      <w:lvlJc w:val="right"/>
      <w:pPr>
        <w:ind w:left="1935" w:hanging="180"/>
      </w:pPr>
    </w:lvl>
    <w:lvl w:ilvl="3" w:tplc="0413000F" w:tentative="1">
      <w:start w:val="1"/>
      <w:numFmt w:val="decimal"/>
      <w:lvlText w:val="%4."/>
      <w:lvlJc w:val="left"/>
      <w:pPr>
        <w:ind w:left="2655" w:hanging="360"/>
      </w:pPr>
    </w:lvl>
    <w:lvl w:ilvl="4" w:tplc="04130019" w:tentative="1">
      <w:start w:val="1"/>
      <w:numFmt w:val="lowerLetter"/>
      <w:lvlText w:val="%5."/>
      <w:lvlJc w:val="left"/>
      <w:pPr>
        <w:ind w:left="3375" w:hanging="360"/>
      </w:pPr>
    </w:lvl>
    <w:lvl w:ilvl="5" w:tplc="0413001B" w:tentative="1">
      <w:start w:val="1"/>
      <w:numFmt w:val="lowerRoman"/>
      <w:lvlText w:val="%6."/>
      <w:lvlJc w:val="right"/>
      <w:pPr>
        <w:ind w:left="4095" w:hanging="180"/>
      </w:pPr>
    </w:lvl>
    <w:lvl w:ilvl="6" w:tplc="0413000F" w:tentative="1">
      <w:start w:val="1"/>
      <w:numFmt w:val="decimal"/>
      <w:lvlText w:val="%7."/>
      <w:lvlJc w:val="left"/>
      <w:pPr>
        <w:ind w:left="4815" w:hanging="360"/>
      </w:pPr>
    </w:lvl>
    <w:lvl w:ilvl="7" w:tplc="04130019" w:tentative="1">
      <w:start w:val="1"/>
      <w:numFmt w:val="lowerLetter"/>
      <w:lvlText w:val="%8."/>
      <w:lvlJc w:val="left"/>
      <w:pPr>
        <w:ind w:left="5535" w:hanging="360"/>
      </w:pPr>
    </w:lvl>
    <w:lvl w:ilvl="8" w:tplc="0413001B" w:tentative="1">
      <w:start w:val="1"/>
      <w:numFmt w:val="lowerRoman"/>
      <w:lvlText w:val="%9."/>
      <w:lvlJc w:val="right"/>
      <w:pPr>
        <w:ind w:left="6255" w:hanging="180"/>
      </w:pPr>
    </w:lvl>
  </w:abstractNum>
  <w:abstractNum w:abstractNumId="29">
    <w:nsid w:val="6D0B0CF1"/>
    <w:multiLevelType w:val="hybridMultilevel"/>
    <w:tmpl w:val="820683DC"/>
    <w:lvl w:ilvl="0" w:tplc="53AA202C">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nsid w:val="7F4841C7"/>
    <w:multiLevelType w:val="multilevel"/>
    <w:tmpl w:val="15BE652E"/>
    <w:lvl w:ilvl="0">
      <w:start w:val="1"/>
      <w:numFmt w:val="lowerLetter"/>
      <w:pStyle w:val="opsomming-lettersjustitie"/>
      <w:lvlText w:val="%1"/>
      <w:lvlJc w:val="left"/>
      <w:pPr>
        <w:tabs>
          <w:tab w:val="num" w:pos="0"/>
        </w:tabs>
        <w:ind w:left="454" w:hanging="454"/>
      </w:pPr>
      <w:rPr>
        <w:rFonts w:ascii="Verdana" w:hAnsi="Verdana" w:hint="default"/>
        <w:b w:val="0"/>
        <w:i w:val="0"/>
        <w:sz w:val="18"/>
      </w:rPr>
    </w:lvl>
    <w:lvl w:ilvl="1">
      <w:start w:val="1"/>
      <w:numFmt w:val="decimal"/>
      <w:lvlText w:val="%2"/>
      <w:lvlJc w:val="left"/>
      <w:pPr>
        <w:tabs>
          <w:tab w:val="num" w:pos="0"/>
        </w:tabs>
        <w:ind w:left="907" w:hanging="453"/>
      </w:pPr>
      <w:rPr>
        <w:rFonts w:ascii="Verdana" w:hAnsi="Verdana" w:hint="default"/>
        <w:b w:val="0"/>
        <w:i w:val="0"/>
        <w:sz w:val="18"/>
      </w:rPr>
    </w:lvl>
    <w:lvl w:ilvl="2">
      <w:start w:val="1"/>
      <w:numFmt w:val="lowerRoman"/>
      <w:lvlText w:val="%3"/>
      <w:lvlJc w:val="left"/>
      <w:pPr>
        <w:tabs>
          <w:tab w:val="num" w:pos="0"/>
        </w:tabs>
        <w:ind w:left="1361" w:hanging="454"/>
      </w:pPr>
      <w:rPr>
        <w:rFonts w:ascii="Verdana" w:hAnsi="Verdana" w:hint="default"/>
        <w:b w:val="0"/>
        <w:i w:val="0"/>
        <w:sz w:val="18"/>
      </w:rPr>
    </w:lvl>
    <w:lvl w:ilvl="3">
      <w:start w:val="1"/>
      <w:numFmt w:val="lowerLetter"/>
      <w:lvlText w:val="%4"/>
      <w:lvlJc w:val="left"/>
      <w:pPr>
        <w:tabs>
          <w:tab w:val="num" w:pos="0"/>
        </w:tabs>
        <w:ind w:left="1814" w:hanging="453"/>
      </w:pPr>
      <w:rPr>
        <w:rFonts w:ascii="Verdana" w:hAnsi="Verdana" w:hint="default"/>
        <w:b w:val="0"/>
        <w:i w:val="0"/>
        <w:sz w:val="18"/>
      </w:rPr>
    </w:lvl>
    <w:lvl w:ilvl="4">
      <w:start w:val="1"/>
      <w:numFmt w:val="decimal"/>
      <w:lvlText w:val="%5"/>
      <w:lvlJc w:val="left"/>
      <w:pPr>
        <w:tabs>
          <w:tab w:val="num" w:pos="0"/>
        </w:tabs>
        <w:ind w:left="2268" w:hanging="454"/>
      </w:pPr>
      <w:rPr>
        <w:rFonts w:ascii="Verdana" w:hAnsi="Verdana" w:hint="default"/>
        <w:b w:val="0"/>
        <w:i w:val="0"/>
        <w:sz w:val="18"/>
      </w:rPr>
    </w:lvl>
    <w:lvl w:ilvl="5">
      <w:start w:val="1"/>
      <w:numFmt w:val="lowerRoman"/>
      <w:lvlText w:val="%6"/>
      <w:lvlJc w:val="left"/>
      <w:pPr>
        <w:tabs>
          <w:tab w:val="num" w:pos="0"/>
        </w:tabs>
        <w:ind w:left="2722" w:hanging="454"/>
      </w:pPr>
      <w:rPr>
        <w:rFonts w:ascii="Verdana" w:hAnsi="Verdana" w:hint="default"/>
        <w:b w:val="0"/>
        <w:i w:val="0"/>
        <w:sz w:val="18"/>
      </w:rPr>
    </w:lvl>
    <w:lvl w:ilvl="6">
      <w:start w:val="1"/>
      <w:numFmt w:val="lowerLetter"/>
      <w:lvlText w:val="%7"/>
      <w:lvlJc w:val="left"/>
      <w:pPr>
        <w:tabs>
          <w:tab w:val="num" w:pos="0"/>
        </w:tabs>
        <w:ind w:left="3175" w:hanging="453"/>
      </w:pPr>
      <w:rPr>
        <w:rFonts w:ascii="Verdana" w:hAnsi="Verdana" w:hint="default"/>
        <w:b w:val="0"/>
        <w:i w:val="0"/>
        <w:sz w:val="18"/>
      </w:rPr>
    </w:lvl>
    <w:lvl w:ilvl="7">
      <w:start w:val="1"/>
      <w:numFmt w:val="decimal"/>
      <w:lvlText w:val="%8"/>
      <w:lvlJc w:val="left"/>
      <w:pPr>
        <w:tabs>
          <w:tab w:val="num" w:pos="0"/>
        </w:tabs>
        <w:ind w:left="3629" w:hanging="454"/>
      </w:pPr>
      <w:rPr>
        <w:rFonts w:ascii="Verdana" w:hAnsi="Verdana" w:hint="default"/>
        <w:b w:val="0"/>
        <w:i w:val="0"/>
        <w:sz w:val="18"/>
      </w:rPr>
    </w:lvl>
    <w:lvl w:ilvl="8">
      <w:start w:val="1"/>
      <w:numFmt w:val="lowerRoman"/>
      <w:lvlText w:val="%9"/>
      <w:lvlJc w:val="left"/>
      <w:pPr>
        <w:tabs>
          <w:tab w:val="num" w:pos="0"/>
        </w:tabs>
        <w:ind w:left="4082" w:hanging="453"/>
      </w:pPr>
      <w:rPr>
        <w:rFonts w:ascii="Verdana" w:hAnsi="Verdana" w:hint="default"/>
        <w:b w:val="0"/>
        <w:i w:val="0"/>
        <w:sz w:val="18"/>
      </w:rPr>
    </w:lvl>
  </w:abstractNum>
  <w:num w:numId="1">
    <w:abstractNumId w:val="12"/>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4"/>
  </w:num>
  <w:num w:numId="13">
    <w:abstractNumId w:val="23"/>
  </w:num>
  <w:num w:numId="14">
    <w:abstractNumId w:val="15"/>
  </w:num>
  <w:num w:numId="15">
    <w:abstractNumId w:val="18"/>
  </w:num>
  <w:num w:numId="16">
    <w:abstractNumId w:val="26"/>
  </w:num>
  <w:num w:numId="17">
    <w:abstractNumId w:val="21"/>
  </w:num>
  <w:num w:numId="18">
    <w:abstractNumId w:val="25"/>
  </w:num>
  <w:num w:numId="19">
    <w:abstractNumId w:val="20"/>
  </w:num>
  <w:num w:numId="20">
    <w:abstractNumId w:val="10"/>
  </w:num>
  <w:num w:numId="21">
    <w:abstractNumId w:val="30"/>
  </w:num>
  <w:num w:numId="22">
    <w:abstractNumId w:val="27"/>
  </w:num>
  <w:num w:numId="23">
    <w:abstractNumId w:val="13"/>
  </w:num>
  <w:num w:numId="24">
    <w:abstractNumId w:val="18"/>
  </w:num>
  <w:num w:numId="25">
    <w:abstractNumId w:val="26"/>
  </w:num>
  <w:num w:numId="26">
    <w:abstractNumId w:val="30"/>
  </w:num>
  <w:num w:numId="27">
    <w:abstractNumId w:val="25"/>
  </w:num>
  <w:num w:numId="28">
    <w:abstractNumId w:val="27"/>
  </w:num>
  <w:num w:numId="29">
    <w:abstractNumId w:val="13"/>
  </w:num>
  <w:num w:numId="30">
    <w:abstractNumId w:val="24"/>
  </w:num>
  <w:num w:numId="31">
    <w:abstractNumId w:val="16"/>
  </w:num>
  <w:num w:numId="32">
    <w:abstractNumId w:val="19"/>
  </w:num>
  <w:num w:numId="33">
    <w:abstractNumId w:val="29"/>
  </w:num>
  <w:num w:numId="34">
    <w:abstractNumId w:val="17"/>
  </w:num>
  <w:num w:numId="35">
    <w:abstractNumId w:val="22"/>
  </w:num>
  <w:num w:numId="36">
    <w:abstractNumId w:val="9"/>
  </w:num>
  <w:num w:numId="37">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en-GB" w:vendorID="64" w:dllVersion="131078" w:nlCheck="1" w:checkStyle="1"/>
  <w:activeWritingStyle w:appName="MSWord" w:lang="en-US" w:vendorID="64" w:dllVersion="131077" w:nlCheck="1" w:checkStyle="1"/>
  <w:activeWritingStyle w:appName="MSWord" w:lang="en-US" w:vendorID="64" w:dllVersion="131078" w:nlCheck="1" w:checkStyle="1"/>
  <w:activeWritingStyle w:appName="MSWord" w:lang="en-GB" w:vendorID="64" w:dllVersion="131077" w:nlCheck="1" w:checkStyle="1"/>
  <w:activeWritingStyle w:appName="MSWord" w:lang="de-DE" w:vendorID="64" w:dllVersion="131078" w:nlCheck="1"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27"/>
  <w:hyphenationZone w:val="425"/>
  <w:characterSpacingControl w:val="doNotCompress"/>
  <w:hdrShapeDefaults>
    <o:shapedefaults v:ext="edit" spidmax="49153" style="mso-position-horizontal-relative:page;mso-position-vertical-relative:page" strokecolor="fuchsia">
      <v:stroke color="fuchsia"/>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dres" w:val=" "/>
    <w:docVar w:name="Carma DocSys~CanReopen" w:val="0"/>
    <w:docVar w:name="Carma DocSys~XML" w:val="&lt;?xml version=&quot;1.0&quot;?&gt;_x000d__x000a_&lt;data customer=&quot;minjus&quot; profile=&quot;minjus&quot; model=&quot;wij_willem-alexander.xml&quot; country-code=&quot;31&quot; target=&quot;Microsoft Word&quot; target-version=&quot;14.0&quot; target-build=&quot;14.0.6129&quot; engine-version=&quot;2.6.10&quot; lastuser-initials=&quot;JW&quot; lastuser-name=&quot;Winden, mr. J.H. van der - BD/DWJZ/SBR&quot;&gt;&lt;wijwa template=&quot;wij_willem-alexander.dot&quot; id=&quot;fb26ea6ce8b749498482ecb9e6614eaf&quot; version=&quot;1.0&quot; reopen=&quot;false&quot; lcid=&quot;1043&quot; locale=&quot;nl&quot;&gt;&lt;PAPER first=&quot;blanco&quot; other=&quot;blanco&quot;/&gt;&lt;zaak/&gt;&lt;digijust value=&quot;0&quot; formatted-value=&quot;0&quot;/&gt;&lt;documentsubtype formatted-value=&quot;Overige&quot;/&gt;&lt;documenttitel formatted-value=&quot;Wij Willem Alexander&quot;/&gt;&lt;heropend value=&quot;false&quot;/&gt;&lt;vorm value=&quot;Digitaal&quot;/&gt;&lt;ZaakLocatie/&gt;&lt;zaakkenmerk/&gt;&lt;zaaktitel/&gt;&lt;drager formatted-value=&quot;Document&quot;/&gt;&lt;documentclass value=&quot;Overige&quot; formatted-value=&quot;Overige&quot;/&gt;&lt;onderdeel/&gt;&lt;digionderdeel/&gt;&lt;documentdatum/&gt;&lt;documentomschrijving/&gt;&lt;adres/&gt;&lt;geadresseerde/&gt;&lt;land/&gt;&lt;postcode/&gt;&lt;woonplaats/&gt;&lt;titel/&gt;&lt;onderwerp/&gt;&lt;contactpersoon/&gt;&lt;directoraat/&gt;&lt;docstatus/&gt;&lt;documenttype value=&quot;Uitgaand&quot;/&gt;&lt;doctype value=&quot;Wij Willem Alexander&quot; formatted-value=&quot;Wij Willem Alexander&quot;/&gt;&lt;/wijwa&gt;&lt;/data&gt;_x000d__x000a_"/>
    <w:docVar w:name="clausule" w:val="clausule"/>
  </w:docVars>
  <w:rsids>
    <w:rsidRoot w:val="000969DC"/>
    <w:rsid w:val="00003B7A"/>
    <w:rsid w:val="0000756A"/>
    <w:rsid w:val="00011619"/>
    <w:rsid w:val="000119B5"/>
    <w:rsid w:val="0002350E"/>
    <w:rsid w:val="00044DD6"/>
    <w:rsid w:val="00046A7B"/>
    <w:rsid w:val="00056538"/>
    <w:rsid w:val="00073B45"/>
    <w:rsid w:val="0008126A"/>
    <w:rsid w:val="00083587"/>
    <w:rsid w:val="000861D2"/>
    <w:rsid w:val="00094C4B"/>
    <w:rsid w:val="000969DC"/>
    <w:rsid w:val="00097907"/>
    <w:rsid w:val="000A30C0"/>
    <w:rsid w:val="000A54FD"/>
    <w:rsid w:val="000B31F5"/>
    <w:rsid w:val="000C2DBF"/>
    <w:rsid w:val="000C36D1"/>
    <w:rsid w:val="000D6A78"/>
    <w:rsid w:val="000E244C"/>
    <w:rsid w:val="000E6193"/>
    <w:rsid w:val="000F0034"/>
    <w:rsid w:val="000F2823"/>
    <w:rsid w:val="001039B9"/>
    <w:rsid w:val="00112266"/>
    <w:rsid w:val="0012273C"/>
    <w:rsid w:val="0013029E"/>
    <w:rsid w:val="001334C7"/>
    <w:rsid w:val="00141344"/>
    <w:rsid w:val="00152899"/>
    <w:rsid w:val="00155DAA"/>
    <w:rsid w:val="0016206B"/>
    <w:rsid w:val="00176238"/>
    <w:rsid w:val="00177DF8"/>
    <w:rsid w:val="001801C5"/>
    <w:rsid w:val="00197896"/>
    <w:rsid w:val="001A13EE"/>
    <w:rsid w:val="001A7C28"/>
    <w:rsid w:val="001B0785"/>
    <w:rsid w:val="001B0A57"/>
    <w:rsid w:val="001B28FC"/>
    <w:rsid w:val="001C1A02"/>
    <w:rsid w:val="001D4E22"/>
    <w:rsid w:val="001E282A"/>
    <w:rsid w:val="001E66E5"/>
    <w:rsid w:val="001F30E6"/>
    <w:rsid w:val="001F5B70"/>
    <w:rsid w:val="001F6CCC"/>
    <w:rsid w:val="00200D84"/>
    <w:rsid w:val="002010CA"/>
    <w:rsid w:val="00207951"/>
    <w:rsid w:val="002109F8"/>
    <w:rsid w:val="00210DF1"/>
    <w:rsid w:val="00220548"/>
    <w:rsid w:val="00223420"/>
    <w:rsid w:val="002239CE"/>
    <w:rsid w:val="00223BD6"/>
    <w:rsid w:val="00224544"/>
    <w:rsid w:val="002303AD"/>
    <w:rsid w:val="002321A2"/>
    <w:rsid w:val="002338A1"/>
    <w:rsid w:val="002379E7"/>
    <w:rsid w:val="0024398E"/>
    <w:rsid w:val="0025452F"/>
    <w:rsid w:val="00276488"/>
    <w:rsid w:val="00281110"/>
    <w:rsid w:val="00287853"/>
    <w:rsid w:val="00294AAE"/>
    <w:rsid w:val="00295696"/>
    <w:rsid w:val="00295C33"/>
    <w:rsid w:val="00296D03"/>
    <w:rsid w:val="0029770F"/>
    <w:rsid w:val="002A10A0"/>
    <w:rsid w:val="002A2963"/>
    <w:rsid w:val="002A303A"/>
    <w:rsid w:val="002B0D19"/>
    <w:rsid w:val="002B15D5"/>
    <w:rsid w:val="002B18A2"/>
    <w:rsid w:val="002B759C"/>
    <w:rsid w:val="002C0003"/>
    <w:rsid w:val="002E2B1A"/>
    <w:rsid w:val="002E4ED4"/>
    <w:rsid w:val="002E75AF"/>
    <w:rsid w:val="002F32E3"/>
    <w:rsid w:val="002F36C8"/>
    <w:rsid w:val="003005ED"/>
    <w:rsid w:val="00300B80"/>
    <w:rsid w:val="00302071"/>
    <w:rsid w:val="00314C91"/>
    <w:rsid w:val="0031653A"/>
    <w:rsid w:val="00324736"/>
    <w:rsid w:val="00326C33"/>
    <w:rsid w:val="0032745D"/>
    <w:rsid w:val="00334E06"/>
    <w:rsid w:val="00342034"/>
    <w:rsid w:val="00363267"/>
    <w:rsid w:val="0036482E"/>
    <w:rsid w:val="00384C0D"/>
    <w:rsid w:val="00386FC5"/>
    <w:rsid w:val="00393D5E"/>
    <w:rsid w:val="003A2FA0"/>
    <w:rsid w:val="003A50D1"/>
    <w:rsid w:val="003A65C8"/>
    <w:rsid w:val="003A689D"/>
    <w:rsid w:val="003C0CDF"/>
    <w:rsid w:val="003C7F6B"/>
    <w:rsid w:val="003D3F45"/>
    <w:rsid w:val="003E1B82"/>
    <w:rsid w:val="003E37EE"/>
    <w:rsid w:val="003E414F"/>
    <w:rsid w:val="003E7AA3"/>
    <w:rsid w:val="003F27B4"/>
    <w:rsid w:val="003F2E1E"/>
    <w:rsid w:val="00403826"/>
    <w:rsid w:val="00405775"/>
    <w:rsid w:val="0040710A"/>
    <w:rsid w:val="00407282"/>
    <w:rsid w:val="004077F5"/>
    <w:rsid w:val="00423E17"/>
    <w:rsid w:val="00426028"/>
    <w:rsid w:val="00431869"/>
    <w:rsid w:val="00432B52"/>
    <w:rsid w:val="00435FF9"/>
    <w:rsid w:val="0043648A"/>
    <w:rsid w:val="00436905"/>
    <w:rsid w:val="00441304"/>
    <w:rsid w:val="00445E01"/>
    <w:rsid w:val="00445F3E"/>
    <w:rsid w:val="0045188D"/>
    <w:rsid w:val="00451A25"/>
    <w:rsid w:val="004525BA"/>
    <w:rsid w:val="00460747"/>
    <w:rsid w:val="00463CCF"/>
    <w:rsid w:val="004642AE"/>
    <w:rsid w:val="00466D0F"/>
    <w:rsid w:val="00467E75"/>
    <w:rsid w:val="00474DCD"/>
    <w:rsid w:val="00480500"/>
    <w:rsid w:val="00492438"/>
    <w:rsid w:val="004A3098"/>
    <w:rsid w:val="004C3F78"/>
    <w:rsid w:val="004C6CC6"/>
    <w:rsid w:val="004D0CC6"/>
    <w:rsid w:val="004E09AA"/>
    <w:rsid w:val="004E1801"/>
    <w:rsid w:val="004E1F7F"/>
    <w:rsid w:val="004E3F96"/>
    <w:rsid w:val="004E500E"/>
    <w:rsid w:val="004E6C3A"/>
    <w:rsid w:val="004F1194"/>
    <w:rsid w:val="004F4AC9"/>
    <w:rsid w:val="004F7B1D"/>
    <w:rsid w:val="00501473"/>
    <w:rsid w:val="005035B6"/>
    <w:rsid w:val="005141DC"/>
    <w:rsid w:val="00514EEE"/>
    <w:rsid w:val="005169A7"/>
    <w:rsid w:val="00520A8D"/>
    <w:rsid w:val="00532A07"/>
    <w:rsid w:val="00533E5F"/>
    <w:rsid w:val="0054530E"/>
    <w:rsid w:val="005464B9"/>
    <w:rsid w:val="00555803"/>
    <w:rsid w:val="005603AA"/>
    <w:rsid w:val="005718E7"/>
    <w:rsid w:val="00580DCA"/>
    <w:rsid w:val="0058493F"/>
    <w:rsid w:val="00584DC3"/>
    <w:rsid w:val="00586690"/>
    <w:rsid w:val="005A58E9"/>
    <w:rsid w:val="005B0B7F"/>
    <w:rsid w:val="005C0A1F"/>
    <w:rsid w:val="005C12E6"/>
    <w:rsid w:val="005C3AD9"/>
    <w:rsid w:val="005C3DEA"/>
    <w:rsid w:val="005D5698"/>
    <w:rsid w:val="005D636D"/>
    <w:rsid w:val="005F1882"/>
    <w:rsid w:val="005F261F"/>
    <w:rsid w:val="005F27AC"/>
    <w:rsid w:val="00602E27"/>
    <w:rsid w:val="006059BF"/>
    <w:rsid w:val="00611599"/>
    <w:rsid w:val="00611EC2"/>
    <w:rsid w:val="00612339"/>
    <w:rsid w:val="00621992"/>
    <w:rsid w:val="006259C8"/>
    <w:rsid w:val="00636870"/>
    <w:rsid w:val="00636FB2"/>
    <w:rsid w:val="00637C90"/>
    <w:rsid w:val="00647736"/>
    <w:rsid w:val="006536FA"/>
    <w:rsid w:val="00660D64"/>
    <w:rsid w:val="006756A2"/>
    <w:rsid w:val="00675C57"/>
    <w:rsid w:val="00680327"/>
    <w:rsid w:val="006810EA"/>
    <w:rsid w:val="00685A84"/>
    <w:rsid w:val="006901FE"/>
    <w:rsid w:val="006910AB"/>
    <w:rsid w:val="0069269D"/>
    <w:rsid w:val="00696AFB"/>
    <w:rsid w:val="006A19AA"/>
    <w:rsid w:val="006A4568"/>
    <w:rsid w:val="006A7657"/>
    <w:rsid w:val="006C2E6B"/>
    <w:rsid w:val="006C7F59"/>
    <w:rsid w:val="006D3943"/>
    <w:rsid w:val="006D5BC8"/>
    <w:rsid w:val="006E3E84"/>
    <w:rsid w:val="006F0E34"/>
    <w:rsid w:val="006F2780"/>
    <w:rsid w:val="006F34E8"/>
    <w:rsid w:val="006F6918"/>
    <w:rsid w:val="00700B07"/>
    <w:rsid w:val="007048C8"/>
    <w:rsid w:val="00704981"/>
    <w:rsid w:val="00705173"/>
    <w:rsid w:val="00712F50"/>
    <w:rsid w:val="00714F17"/>
    <w:rsid w:val="0071616A"/>
    <w:rsid w:val="00723570"/>
    <w:rsid w:val="007309B1"/>
    <w:rsid w:val="00743B7D"/>
    <w:rsid w:val="007466A8"/>
    <w:rsid w:val="007523E1"/>
    <w:rsid w:val="0075491E"/>
    <w:rsid w:val="00757468"/>
    <w:rsid w:val="007622BE"/>
    <w:rsid w:val="00765D7B"/>
    <w:rsid w:val="00766FDE"/>
    <w:rsid w:val="00773959"/>
    <w:rsid w:val="00775007"/>
    <w:rsid w:val="0078052C"/>
    <w:rsid w:val="007861F3"/>
    <w:rsid w:val="00786AE3"/>
    <w:rsid w:val="0079161E"/>
    <w:rsid w:val="00793446"/>
    <w:rsid w:val="007B7E59"/>
    <w:rsid w:val="007C1224"/>
    <w:rsid w:val="007C1591"/>
    <w:rsid w:val="007C4679"/>
    <w:rsid w:val="007C7188"/>
    <w:rsid w:val="007D3F15"/>
    <w:rsid w:val="007E640C"/>
    <w:rsid w:val="007F34D8"/>
    <w:rsid w:val="007F50EB"/>
    <w:rsid w:val="008062C8"/>
    <w:rsid w:val="00823E10"/>
    <w:rsid w:val="0082427D"/>
    <w:rsid w:val="00825590"/>
    <w:rsid w:val="00844FF1"/>
    <w:rsid w:val="00847732"/>
    <w:rsid w:val="00857599"/>
    <w:rsid w:val="008578A0"/>
    <w:rsid w:val="008638AA"/>
    <w:rsid w:val="008A68BE"/>
    <w:rsid w:val="008B0838"/>
    <w:rsid w:val="008B4182"/>
    <w:rsid w:val="008C0A73"/>
    <w:rsid w:val="008C1EDF"/>
    <w:rsid w:val="008D32BE"/>
    <w:rsid w:val="008D57FD"/>
    <w:rsid w:val="008D59D8"/>
    <w:rsid w:val="008E1B89"/>
    <w:rsid w:val="008E5EFB"/>
    <w:rsid w:val="008E7B0B"/>
    <w:rsid w:val="008F6007"/>
    <w:rsid w:val="008F7046"/>
    <w:rsid w:val="008F7770"/>
    <w:rsid w:val="00914A5E"/>
    <w:rsid w:val="00924025"/>
    <w:rsid w:val="00924E5A"/>
    <w:rsid w:val="00932265"/>
    <w:rsid w:val="00945380"/>
    <w:rsid w:val="0094557B"/>
    <w:rsid w:val="00945EAF"/>
    <w:rsid w:val="00946ED0"/>
    <w:rsid w:val="0094798A"/>
    <w:rsid w:val="00947AD6"/>
    <w:rsid w:val="009507A0"/>
    <w:rsid w:val="00953BC8"/>
    <w:rsid w:val="00962224"/>
    <w:rsid w:val="00962B5B"/>
    <w:rsid w:val="0097225E"/>
    <w:rsid w:val="00975EC5"/>
    <w:rsid w:val="0098088A"/>
    <w:rsid w:val="00983F70"/>
    <w:rsid w:val="009925F4"/>
    <w:rsid w:val="00996A4F"/>
    <w:rsid w:val="009A0ED3"/>
    <w:rsid w:val="009A1F1C"/>
    <w:rsid w:val="009C13BA"/>
    <w:rsid w:val="009C3D17"/>
    <w:rsid w:val="009C5E71"/>
    <w:rsid w:val="009C5F81"/>
    <w:rsid w:val="009C73E2"/>
    <w:rsid w:val="009D4C44"/>
    <w:rsid w:val="009D63B5"/>
    <w:rsid w:val="009D6C38"/>
    <w:rsid w:val="009D7322"/>
    <w:rsid w:val="009F6227"/>
    <w:rsid w:val="009F669F"/>
    <w:rsid w:val="00A1299D"/>
    <w:rsid w:val="00A12D48"/>
    <w:rsid w:val="00A26DEE"/>
    <w:rsid w:val="00A33D95"/>
    <w:rsid w:val="00A40E2D"/>
    <w:rsid w:val="00A42F72"/>
    <w:rsid w:val="00A4420B"/>
    <w:rsid w:val="00A51A6C"/>
    <w:rsid w:val="00A5257B"/>
    <w:rsid w:val="00A62496"/>
    <w:rsid w:val="00A7028F"/>
    <w:rsid w:val="00A722D5"/>
    <w:rsid w:val="00A730B1"/>
    <w:rsid w:val="00A73FFD"/>
    <w:rsid w:val="00A7524F"/>
    <w:rsid w:val="00A7639C"/>
    <w:rsid w:val="00A82520"/>
    <w:rsid w:val="00A94FE1"/>
    <w:rsid w:val="00AA523F"/>
    <w:rsid w:val="00AA5D3E"/>
    <w:rsid w:val="00AB2670"/>
    <w:rsid w:val="00AB3FBB"/>
    <w:rsid w:val="00AB40B5"/>
    <w:rsid w:val="00AC493C"/>
    <w:rsid w:val="00AC766D"/>
    <w:rsid w:val="00AD1135"/>
    <w:rsid w:val="00AD4380"/>
    <w:rsid w:val="00AD58C1"/>
    <w:rsid w:val="00AD7C4F"/>
    <w:rsid w:val="00AE4D1C"/>
    <w:rsid w:val="00AF0FAE"/>
    <w:rsid w:val="00AF1C67"/>
    <w:rsid w:val="00AF2454"/>
    <w:rsid w:val="00AF2F0A"/>
    <w:rsid w:val="00B033A4"/>
    <w:rsid w:val="00B0346D"/>
    <w:rsid w:val="00B068F8"/>
    <w:rsid w:val="00B22693"/>
    <w:rsid w:val="00B24C4D"/>
    <w:rsid w:val="00B25B24"/>
    <w:rsid w:val="00B27A44"/>
    <w:rsid w:val="00B30846"/>
    <w:rsid w:val="00B340C2"/>
    <w:rsid w:val="00B34522"/>
    <w:rsid w:val="00B3503D"/>
    <w:rsid w:val="00B679FC"/>
    <w:rsid w:val="00B67AF3"/>
    <w:rsid w:val="00B70653"/>
    <w:rsid w:val="00B708C4"/>
    <w:rsid w:val="00B7098F"/>
    <w:rsid w:val="00B74EFF"/>
    <w:rsid w:val="00B81282"/>
    <w:rsid w:val="00B820BC"/>
    <w:rsid w:val="00B83627"/>
    <w:rsid w:val="00B85D90"/>
    <w:rsid w:val="00B961BF"/>
    <w:rsid w:val="00BA16F8"/>
    <w:rsid w:val="00BA2CBF"/>
    <w:rsid w:val="00BB246C"/>
    <w:rsid w:val="00BB4184"/>
    <w:rsid w:val="00BB429D"/>
    <w:rsid w:val="00BB478B"/>
    <w:rsid w:val="00BC0604"/>
    <w:rsid w:val="00BD2CB4"/>
    <w:rsid w:val="00BD56F6"/>
    <w:rsid w:val="00BD5E69"/>
    <w:rsid w:val="00BD7DAE"/>
    <w:rsid w:val="00BF7C81"/>
    <w:rsid w:val="00C01DCD"/>
    <w:rsid w:val="00C03B3D"/>
    <w:rsid w:val="00C10950"/>
    <w:rsid w:val="00C115DB"/>
    <w:rsid w:val="00C4485C"/>
    <w:rsid w:val="00C46B37"/>
    <w:rsid w:val="00C5746C"/>
    <w:rsid w:val="00C64B48"/>
    <w:rsid w:val="00C64F23"/>
    <w:rsid w:val="00C65985"/>
    <w:rsid w:val="00C674B8"/>
    <w:rsid w:val="00C80F38"/>
    <w:rsid w:val="00C93E8F"/>
    <w:rsid w:val="00C95386"/>
    <w:rsid w:val="00C956E6"/>
    <w:rsid w:val="00C95D5F"/>
    <w:rsid w:val="00CA3995"/>
    <w:rsid w:val="00CA6F38"/>
    <w:rsid w:val="00CA7A14"/>
    <w:rsid w:val="00CC042D"/>
    <w:rsid w:val="00CC1717"/>
    <w:rsid w:val="00CC64B9"/>
    <w:rsid w:val="00CD0AA0"/>
    <w:rsid w:val="00CD4BF4"/>
    <w:rsid w:val="00CD4E00"/>
    <w:rsid w:val="00CE7D48"/>
    <w:rsid w:val="00CF5065"/>
    <w:rsid w:val="00D210B0"/>
    <w:rsid w:val="00D239CB"/>
    <w:rsid w:val="00D31572"/>
    <w:rsid w:val="00D40A33"/>
    <w:rsid w:val="00D52F99"/>
    <w:rsid w:val="00D57260"/>
    <w:rsid w:val="00D57E98"/>
    <w:rsid w:val="00D619E6"/>
    <w:rsid w:val="00D624EB"/>
    <w:rsid w:val="00D9285B"/>
    <w:rsid w:val="00D92E7E"/>
    <w:rsid w:val="00D947E3"/>
    <w:rsid w:val="00D97908"/>
    <w:rsid w:val="00DC6F38"/>
    <w:rsid w:val="00DD4E94"/>
    <w:rsid w:val="00DD5009"/>
    <w:rsid w:val="00DD5F8B"/>
    <w:rsid w:val="00DD7BD7"/>
    <w:rsid w:val="00DE2008"/>
    <w:rsid w:val="00DE26AB"/>
    <w:rsid w:val="00E01240"/>
    <w:rsid w:val="00E02974"/>
    <w:rsid w:val="00E02AFA"/>
    <w:rsid w:val="00E0402E"/>
    <w:rsid w:val="00E11DAC"/>
    <w:rsid w:val="00E25465"/>
    <w:rsid w:val="00E25C1B"/>
    <w:rsid w:val="00E45633"/>
    <w:rsid w:val="00E475A0"/>
    <w:rsid w:val="00E60A4C"/>
    <w:rsid w:val="00E61D9A"/>
    <w:rsid w:val="00E64118"/>
    <w:rsid w:val="00E66CAF"/>
    <w:rsid w:val="00E709F5"/>
    <w:rsid w:val="00E83997"/>
    <w:rsid w:val="00E84EC9"/>
    <w:rsid w:val="00E850D8"/>
    <w:rsid w:val="00E86F4F"/>
    <w:rsid w:val="00E936E2"/>
    <w:rsid w:val="00E9476C"/>
    <w:rsid w:val="00EA532E"/>
    <w:rsid w:val="00EA754C"/>
    <w:rsid w:val="00EB4AE8"/>
    <w:rsid w:val="00EB5220"/>
    <w:rsid w:val="00EC26A9"/>
    <w:rsid w:val="00EC5A40"/>
    <w:rsid w:val="00EC7A31"/>
    <w:rsid w:val="00ED0964"/>
    <w:rsid w:val="00ED2E5C"/>
    <w:rsid w:val="00ED7DBF"/>
    <w:rsid w:val="00EE63FE"/>
    <w:rsid w:val="00EF72B4"/>
    <w:rsid w:val="00F072BB"/>
    <w:rsid w:val="00F11EB9"/>
    <w:rsid w:val="00F132A5"/>
    <w:rsid w:val="00F262D6"/>
    <w:rsid w:val="00F34B08"/>
    <w:rsid w:val="00F37B38"/>
    <w:rsid w:val="00F5298C"/>
    <w:rsid w:val="00F5317F"/>
    <w:rsid w:val="00F53A1E"/>
    <w:rsid w:val="00F61009"/>
    <w:rsid w:val="00F66533"/>
    <w:rsid w:val="00F708F0"/>
    <w:rsid w:val="00F721A9"/>
    <w:rsid w:val="00F81B60"/>
    <w:rsid w:val="00F92FC5"/>
    <w:rsid w:val="00F95352"/>
    <w:rsid w:val="00FB015F"/>
    <w:rsid w:val="00FB7615"/>
    <w:rsid w:val="00FE5CDD"/>
    <w:rsid w:val="00FE7BF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9153" style="mso-position-horizontal-relative:page;mso-position-vertical-relative:page" strokecolor="fuchsia">
      <v:stroke color="fuchsia"/>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pPr>
      <w:spacing w:line="240" w:lineRule="atLeast"/>
    </w:pPr>
    <w:rPr>
      <w:rFonts w:ascii="Verdana" w:hAnsi="Verdana"/>
      <w:sz w:val="18"/>
      <w:szCs w:val="24"/>
    </w:rPr>
  </w:style>
  <w:style w:type="paragraph" w:styleId="Kop1">
    <w:name w:val="heading 1"/>
    <w:basedOn w:val="broodtekst"/>
    <w:next w:val="Standaard"/>
    <w:qFormat/>
    <w:pPr>
      <w:keepNext/>
      <w:spacing w:before="240" w:after="60"/>
      <w:outlineLvl w:val="0"/>
    </w:pPr>
    <w:rPr>
      <w:rFonts w:cs="Arial"/>
      <w:b/>
      <w:bCs/>
      <w:kern w:val="32"/>
      <w:sz w:val="32"/>
      <w:szCs w:val="32"/>
    </w:rPr>
  </w:style>
  <w:style w:type="paragraph" w:styleId="Kop2">
    <w:name w:val="heading 2"/>
    <w:basedOn w:val="broodtekst"/>
    <w:next w:val="Standaard"/>
    <w:qFormat/>
    <w:pPr>
      <w:keepNext/>
      <w:spacing w:before="240" w:after="60"/>
      <w:outlineLvl w:val="1"/>
    </w:pPr>
    <w:rPr>
      <w:rFonts w:cs="Arial"/>
      <w:b/>
      <w:bCs/>
      <w:i/>
      <w:iCs/>
      <w:sz w:val="28"/>
      <w:szCs w:val="28"/>
    </w:rPr>
  </w:style>
  <w:style w:type="paragraph" w:styleId="Kop3">
    <w:name w:val="heading 3"/>
    <w:basedOn w:val="broodtekst"/>
    <w:next w:val="Standaard"/>
    <w:qFormat/>
    <w:pPr>
      <w:keepNext/>
      <w:spacing w:before="240" w:after="60"/>
      <w:outlineLvl w:val="2"/>
    </w:pPr>
    <w:rPr>
      <w:rFonts w:cs="Arial"/>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roodtekst">
    <w:name w:val="broodtekst"/>
    <w:basedOn w:val="Standaard"/>
    <w:pPr>
      <w:tabs>
        <w:tab w:val="left" w:pos="227"/>
        <w:tab w:val="left" w:pos="454"/>
        <w:tab w:val="left" w:pos="680"/>
      </w:tabs>
      <w:autoSpaceDE w:val="0"/>
      <w:autoSpaceDN w:val="0"/>
      <w:adjustRightInd w:val="0"/>
    </w:pPr>
    <w:rPr>
      <w:szCs w:val="18"/>
    </w:rPr>
  </w:style>
  <w:style w:type="paragraph" w:styleId="Koptekst">
    <w:name w:val="header"/>
    <w:basedOn w:val="broodtekst"/>
    <w:pPr>
      <w:tabs>
        <w:tab w:val="center" w:pos="4536"/>
        <w:tab w:val="right" w:pos="9072"/>
      </w:tabs>
    </w:pPr>
  </w:style>
  <w:style w:type="paragraph" w:styleId="Voettekst">
    <w:name w:val="footer"/>
    <w:basedOn w:val="broodtekst"/>
    <w:pPr>
      <w:tabs>
        <w:tab w:val="center" w:pos="4536"/>
        <w:tab w:val="right" w:pos="9072"/>
      </w:tabs>
    </w:pPr>
  </w:style>
  <w:style w:type="character" w:styleId="GevolgdeHyperlink">
    <w:name w:val="FollowedHyperlink"/>
    <w:basedOn w:val="Standaardalinea-lettertype"/>
    <w:rPr>
      <w:color w:val="800080"/>
      <w:u w:val="single"/>
    </w:rPr>
  </w:style>
  <w:style w:type="paragraph" w:customStyle="1" w:styleId="Huisstijl-Adres">
    <w:name w:val="Huisstijl-Adres"/>
    <w:basedOn w:val="broodtekst"/>
    <w:pPr>
      <w:tabs>
        <w:tab w:val="left" w:pos="192"/>
      </w:tabs>
      <w:spacing w:after="90" w:line="180" w:lineRule="exact"/>
    </w:pPr>
    <w:rPr>
      <w:noProof/>
      <w:sz w:val="13"/>
      <w:szCs w:val="13"/>
    </w:rPr>
  </w:style>
  <w:style w:type="paragraph" w:styleId="Lijstopsomteken">
    <w:name w:val="List Bullet"/>
    <w:basedOn w:val="broodtekst"/>
    <w:pPr>
      <w:numPr>
        <w:numId w:val="1"/>
      </w:numPr>
    </w:pPr>
    <w:rPr>
      <w:noProof/>
    </w:rPr>
  </w:style>
  <w:style w:type="character" w:customStyle="1" w:styleId="Huisstijl-GegevenCharChar">
    <w:name w:val="Huisstijl-Gegeven Char Char"/>
    <w:basedOn w:val="Standaardalinea-lettertype"/>
    <w:rPr>
      <w:rFonts w:ascii="Verdana" w:hAnsi="Verdana"/>
      <w:noProof/>
      <w:sz w:val="13"/>
      <w:szCs w:val="24"/>
      <w:lang w:val="nl-NL" w:eastAsia="nl-NL" w:bidi="ar-SA"/>
    </w:rPr>
  </w:style>
  <w:style w:type="paragraph" w:customStyle="1" w:styleId="Huisstijl-Gegeven">
    <w:name w:val="Huisstijl-Gegeven"/>
    <w:basedOn w:val="broodtekst"/>
    <w:pPr>
      <w:spacing w:after="92" w:line="180" w:lineRule="atLeast"/>
    </w:pPr>
    <w:rPr>
      <w:noProof/>
      <w:sz w:val="13"/>
    </w:rPr>
  </w:style>
  <w:style w:type="paragraph" w:customStyle="1" w:styleId="witregel1">
    <w:name w:val="witregel1"/>
    <w:basedOn w:val="broodtekst"/>
    <w:pPr>
      <w:spacing w:line="90" w:lineRule="atLeast"/>
    </w:pPr>
    <w:rPr>
      <w:sz w:val="2"/>
    </w:rPr>
  </w:style>
  <w:style w:type="paragraph" w:customStyle="1" w:styleId="Huisstijl-Rubricering">
    <w:name w:val="Huisstijl-Rubricering"/>
    <w:basedOn w:val="broodtekst"/>
    <w:pPr>
      <w:spacing w:line="180" w:lineRule="exact"/>
    </w:pPr>
    <w:rPr>
      <w:b/>
      <w:bCs/>
      <w:caps/>
      <w:noProof/>
      <w:sz w:val="13"/>
      <w:szCs w:val="13"/>
    </w:rPr>
  </w:style>
  <w:style w:type="paragraph" w:customStyle="1" w:styleId="adres">
    <w:name w:val="adres"/>
    <w:basedOn w:val="broodtekst"/>
    <w:rPr>
      <w:noProof/>
    </w:rPr>
  </w:style>
  <w:style w:type="character" w:styleId="Hyperlink">
    <w:name w:val="Hyperlink"/>
    <w:basedOn w:val="Standaardalinea-lettertype"/>
    <w:rPr>
      <w:color w:val="0000FF"/>
      <w:u w:val="single"/>
    </w:rPr>
  </w:style>
  <w:style w:type="paragraph" w:customStyle="1" w:styleId="Huisstijl-Retouradres">
    <w:name w:val="Huisstijl-Retouradres"/>
    <w:basedOn w:val="broodtekst"/>
    <w:pPr>
      <w:spacing w:line="180" w:lineRule="exact"/>
    </w:pPr>
    <w:rPr>
      <w:noProof/>
      <w:sz w:val="13"/>
    </w:rPr>
  </w:style>
  <w:style w:type="paragraph" w:customStyle="1" w:styleId="Huisstijl-Kopje">
    <w:name w:val="Huisstijl-Kopje"/>
    <w:basedOn w:val="broodtekst"/>
    <w:pPr>
      <w:spacing w:line="180" w:lineRule="atLeast"/>
    </w:pPr>
    <w:rPr>
      <w:b/>
      <w:sz w:val="13"/>
    </w:rPr>
  </w:style>
  <w:style w:type="paragraph" w:customStyle="1" w:styleId="Huisstijl-Voorwaarden">
    <w:name w:val="Huisstijl-Voorwaarden"/>
    <w:basedOn w:val="broodtekst"/>
    <w:pPr>
      <w:spacing w:line="180" w:lineRule="exact"/>
    </w:pPr>
    <w:rPr>
      <w:i/>
      <w:noProof/>
      <w:sz w:val="13"/>
    </w:rPr>
  </w:style>
  <w:style w:type="paragraph" w:customStyle="1" w:styleId="kixcode">
    <w:name w:val="kixcode"/>
    <w:basedOn w:val="broodtekst"/>
    <w:pPr>
      <w:spacing w:before="60" w:line="240" w:lineRule="auto"/>
    </w:pPr>
    <w:rPr>
      <w:rFonts w:ascii="KIX Barcode" w:hAnsi="KIX Barcode"/>
      <w:b/>
      <w:bCs/>
      <w:smallCaps/>
      <w:noProof/>
      <w:sz w:val="24"/>
    </w:rPr>
  </w:style>
  <w:style w:type="paragraph" w:customStyle="1" w:styleId="Huisstijl-Paginanummering">
    <w:name w:val="Huisstijl-Paginanummering"/>
    <w:basedOn w:val="broodtekst"/>
    <w:pPr>
      <w:spacing w:line="180" w:lineRule="exact"/>
    </w:pPr>
    <w:rPr>
      <w:noProof/>
      <w:sz w:val="13"/>
    </w:rPr>
  </w:style>
  <w:style w:type="paragraph" w:styleId="Lijstopsomteken2">
    <w:name w:val="List Bullet 2"/>
    <w:basedOn w:val="broodtekst"/>
    <w:pPr>
      <w:numPr>
        <w:numId w:val="14"/>
      </w:numPr>
      <w:tabs>
        <w:tab w:val="clear" w:pos="227"/>
      </w:tabs>
      <w:ind w:left="454" w:hanging="227"/>
    </w:pPr>
    <w:rPr>
      <w:noProof/>
    </w:rPr>
  </w:style>
  <w:style w:type="paragraph" w:customStyle="1" w:styleId="minofdir">
    <w:name w:val="minofdir"/>
    <w:basedOn w:val="broodtekst"/>
    <w:rPr>
      <w:rFonts w:ascii="RO VenW" w:hAnsi="RO VenW"/>
      <w:sz w:val="220"/>
    </w:rPr>
  </w:style>
  <w:style w:type="paragraph" w:customStyle="1" w:styleId="opsomming-bolletjesjustitie">
    <w:name w:val="opsomming-bolletjes_justitie"/>
    <w:basedOn w:val="broodtekst"/>
    <w:pPr>
      <w:numPr>
        <w:numId w:val="24"/>
      </w:numPr>
      <w:tabs>
        <w:tab w:val="clear" w:pos="227"/>
        <w:tab w:val="clear" w:pos="680"/>
        <w:tab w:val="left" w:pos="907"/>
        <w:tab w:val="left" w:pos="1361"/>
        <w:tab w:val="left" w:pos="1814"/>
        <w:tab w:val="left" w:pos="2268"/>
        <w:tab w:val="left" w:pos="2722"/>
        <w:tab w:val="left" w:pos="3175"/>
        <w:tab w:val="left" w:pos="3629"/>
        <w:tab w:val="left" w:pos="4082"/>
      </w:tabs>
    </w:pPr>
  </w:style>
  <w:style w:type="paragraph" w:styleId="Bijschrift">
    <w:name w:val="caption"/>
    <w:basedOn w:val="Standaard"/>
    <w:next w:val="Standaard"/>
    <w:qFormat/>
    <w:pPr>
      <w:spacing w:before="120" w:after="120"/>
    </w:pPr>
    <w:rPr>
      <w:b/>
      <w:bCs/>
      <w:sz w:val="20"/>
      <w:szCs w:val="20"/>
    </w:rPr>
  </w:style>
  <w:style w:type="paragraph" w:customStyle="1" w:styleId="opsomming-cijfersjustitie">
    <w:name w:val="opsomming-cijfers_justitie"/>
    <w:basedOn w:val="broodtekst"/>
    <w:pPr>
      <w:numPr>
        <w:numId w:val="25"/>
      </w:numPr>
      <w:tabs>
        <w:tab w:val="clear" w:pos="227"/>
        <w:tab w:val="clear" w:pos="680"/>
        <w:tab w:val="left" w:pos="907"/>
        <w:tab w:val="left" w:pos="1361"/>
        <w:tab w:val="left" w:pos="1814"/>
        <w:tab w:val="left" w:pos="2268"/>
        <w:tab w:val="left" w:pos="2722"/>
        <w:tab w:val="left" w:pos="3175"/>
        <w:tab w:val="left" w:pos="3629"/>
        <w:tab w:val="left" w:pos="4082"/>
      </w:tabs>
    </w:pPr>
  </w:style>
  <w:style w:type="paragraph" w:customStyle="1" w:styleId="datumonderwerp">
    <w:name w:val="datumonderwerp"/>
    <w:basedOn w:val="broodtekst"/>
    <w:pPr>
      <w:tabs>
        <w:tab w:val="clear" w:pos="227"/>
        <w:tab w:val="clear" w:pos="454"/>
        <w:tab w:val="clear" w:pos="680"/>
        <w:tab w:val="left" w:pos="794"/>
      </w:tabs>
    </w:pPr>
  </w:style>
  <w:style w:type="character" w:styleId="Paginanummer">
    <w:name w:val="page number"/>
    <w:basedOn w:val="Standaardalinea-lettertype"/>
  </w:style>
  <w:style w:type="paragraph" w:customStyle="1" w:styleId="afzendkopje">
    <w:name w:val="afzendkopje"/>
    <w:basedOn w:val="broodtekst"/>
    <w:pPr>
      <w:spacing w:line="180" w:lineRule="atLeast"/>
    </w:pPr>
    <w:rPr>
      <w:b/>
      <w:sz w:val="13"/>
    </w:rPr>
  </w:style>
  <w:style w:type="paragraph" w:customStyle="1" w:styleId="afzendgegevens">
    <w:name w:val="afzendgegevens"/>
    <w:basedOn w:val="broodtekst"/>
    <w:pPr>
      <w:spacing w:line="180" w:lineRule="atLeast"/>
    </w:pPr>
    <w:rPr>
      <w:sz w:val="13"/>
    </w:rPr>
  </w:style>
  <w:style w:type="paragraph" w:customStyle="1" w:styleId="lijst-nummer1">
    <w:name w:val="lijst-nummer1"/>
    <w:basedOn w:val="broodtekst"/>
    <w:next w:val="broodtekst"/>
    <w:pPr>
      <w:numPr>
        <w:numId w:val="19"/>
      </w:numPr>
      <w:tabs>
        <w:tab w:val="clear" w:pos="227"/>
        <w:tab w:val="clear" w:pos="454"/>
        <w:tab w:val="clear" w:pos="680"/>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s>
      <w:suppressAutoHyphens/>
      <w:autoSpaceDE/>
      <w:autoSpaceDN/>
      <w:adjustRightInd/>
    </w:pPr>
    <w:rPr>
      <w:szCs w:val="24"/>
      <w:lang w:eastAsia="en-US"/>
    </w:rPr>
  </w:style>
  <w:style w:type="paragraph" w:customStyle="1" w:styleId="referentiegegevens">
    <w:name w:val="referentiegegevens"/>
    <w:basedOn w:val="broodtekst"/>
    <w:pPr>
      <w:spacing w:line="180" w:lineRule="atLeast"/>
    </w:pPr>
    <w:rPr>
      <w:sz w:val="13"/>
    </w:rPr>
  </w:style>
  <w:style w:type="paragraph" w:customStyle="1" w:styleId="referentiekopjes">
    <w:name w:val="referentiekopjes"/>
    <w:basedOn w:val="broodtekst"/>
    <w:next w:val="referentiegegevens"/>
    <w:pPr>
      <w:spacing w:line="180" w:lineRule="atLeast"/>
    </w:pPr>
    <w:rPr>
      <w:b/>
      <w:sz w:val="13"/>
    </w:rPr>
  </w:style>
  <w:style w:type="paragraph" w:customStyle="1" w:styleId="witregel2">
    <w:name w:val="witregel2"/>
    <w:basedOn w:val="broodtekst"/>
    <w:pPr>
      <w:spacing w:line="270" w:lineRule="atLeast"/>
    </w:pPr>
    <w:rPr>
      <w:sz w:val="2"/>
    </w:rPr>
  </w:style>
  <w:style w:type="paragraph" w:customStyle="1" w:styleId="clausule">
    <w:name w:val="clausule"/>
    <w:basedOn w:val="broodtekst"/>
    <w:pPr>
      <w:spacing w:line="180" w:lineRule="atLeast"/>
    </w:pPr>
    <w:rPr>
      <w:i/>
      <w:sz w:val="13"/>
    </w:rPr>
  </w:style>
  <w:style w:type="paragraph" w:customStyle="1" w:styleId="afzendgegevens-bold">
    <w:name w:val="afzendgegevens-bold"/>
    <w:basedOn w:val="afzendgegevens"/>
    <w:rPr>
      <w:b/>
    </w:rPr>
  </w:style>
  <w:style w:type="paragraph" w:customStyle="1" w:styleId="aanhef">
    <w:name w:val="aanhef"/>
    <w:basedOn w:val="broodtekst"/>
    <w:next w:val="broodtekst"/>
    <w:pPr>
      <w:spacing w:after="240"/>
    </w:pPr>
  </w:style>
  <w:style w:type="paragraph" w:customStyle="1" w:styleId="broodtekst-bold">
    <w:name w:val="broodtekst-bold"/>
    <w:basedOn w:val="broodtekst"/>
    <w:rPr>
      <w:b/>
    </w:rPr>
  </w:style>
  <w:style w:type="paragraph" w:customStyle="1" w:styleId="broodtekst-vet-pagebreak">
    <w:name w:val="broodtekst-vet-pagebreak"/>
    <w:basedOn w:val="broodtekst"/>
    <w:next w:val="broodtekst"/>
    <w:pPr>
      <w:pageBreakBefore/>
    </w:pPr>
    <w:rPr>
      <w:b/>
    </w:rPr>
  </w:style>
  <w:style w:type="paragraph" w:customStyle="1" w:styleId="broodtekst-12-vet">
    <w:name w:val="broodtekst-12-vet"/>
    <w:basedOn w:val="broodtekst"/>
    <w:rPr>
      <w:b/>
      <w:sz w:val="24"/>
    </w:rPr>
  </w:style>
  <w:style w:type="paragraph" w:customStyle="1" w:styleId="groetregel">
    <w:name w:val="groetregel"/>
    <w:basedOn w:val="broodtekst"/>
    <w:next w:val="broodtekst"/>
    <w:pPr>
      <w:spacing w:before="240"/>
    </w:pPr>
  </w:style>
  <w:style w:type="paragraph" w:customStyle="1" w:styleId="in-table">
    <w:name w:val="in-table"/>
    <w:basedOn w:val="broodtekst"/>
    <w:pPr>
      <w:spacing w:line="0" w:lineRule="atLeast"/>
    </w:pPr>
    <w:rPr>
      <w:sz w:val="2"/>
    </w:rPr>
  </w:style>
  <w:style w:type="character" w:customStyle="1" w:styleId="clausuleregel">
    <w:name w:val="clausuleregel"/>
    <w:basedOn w:val="Standaardalinea-lettertype"/>
    <w:rPr>
      <w:rFonts w:ascii="Verdana" w:hAnsi="Verdana"/>
      <w:i/>
      <w:position w:val="-9"/>
      <w:sz w:val="13"/>
    </w:rPr>
  </w:style>
  <w:style w:type="paragraph" w:customStyle="1" w:styleId="kop1justitie">
    <w:name w:val="kop1_justitie"/>
    <w:basedOn w:val="broodtekst"/>
    <w:next w:val="broodtekst"/>
    <w:pPr>
      <w:numPr>
        <w:numId w:val="17"/>
      </w:numPr>
      <w:tabs>
        <w:tab w:val="clear" w:pos="227"/>
        <w:tab w:val="clear" w:pos="454"/>
        <w:tab w:val="clear" w:pos="680"/>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s>
      <w:spacing w:before="240" w:after="60" w:line="300" w:lineRule="atLeast"/>
    </w:pPr>
    <w:rPr>
      <w:b/>
      <w:sz w:val="30"/>
    </w:rPr>
  </w:style>
  <w:style w:type="paragraph" w:customStyle="1" w:styleId="kop2justitie">
    <w:name w:val="kop2_justitie"/>
    <w:basedOn w:val="broodtekst"/>
    <w:next w:val="broodtekst"/>
    <w:pPr>
      <w:numPr>
        <w:ilvl w:val="1"/>
        <w:numId w:val="17"/>
      </w:numPr>
      <w:tabs>
        <w:tab w:val="clear" w:pos="227"/>
        <w:tab w:val="clear" w:pos="454"/>
        <w:tab w:val="clear" w:pos="680"/>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 w:val="left" w:pos="12758"/>
      </w:tabs>
      <w:spacing w:before="240" w:after="60" w:line="300" w:lineRule="atLeast"/>
    </w:pPr>
    <w:rPr>
      <w:b/>
      <w:sz w:val="26"/>
    </w:rPr>
  </w:style>
  <w:style w:type="paragraph" w:customStyle="1" w:styleId="kop3justitie">
    <w:name w:val="kop3_justitie"/>
    <w:basedOn w:val="broodtekst"/>
    <w:next w:val="broodtekst"/>
    <w:pPr>
      <w:numPr>
        <w:ilvl w:val="2"/>
        <w:numId w:val="17"/>
      </w:numPr>
      <w:tabs>
        <w:tab w:val="clear" w:pos="227"/>
        <w:tab w:val="clear" w:pos="454"/>
        <w:tab w:val="clear" w:pos="680"/>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s>
      <w:spacing w:before="240" w:after="60" w:line="300" w:lineRule="atLeast"/>
    </w:pPr>
    <w:rPr>
      <w:b/>
      <w:sz w:val="22"/>
    </w:rPr>
  </w:style>
  <w:style w:type="paragraph" w:customStyle="1" w:styleId="kop20">
    <w:name w:val="kop2"/>
    <w:basedOn w:val="Standaard"/>
  </w:style>
  <w:style w:type="paragraph" w:customStyle="1" w:styleId="kop30">
    <w:name w:val="kop3"/>
    <w:basedOn w:val="Standaard"/>
  </w:style>
  <w:style w:type="paragraph" w:customStyle="1" w:styleId="opsomming-streepjesjustitie">
    <w:name w:val="opsomming-streepjes_justitie"/>
    <w:basedOn w:val="broodtekst"/>
    <w:pPr>
      <w:numPr>
        <w:numId w:val="27"/>
      </w:numPr>
      <w:tabs>
        <w:tab w:val="clear" w:pos="227"/>
        <w:tab w:val="clear" w:pos="680"/>
        <w:tab w:val="left" w:pos="907"/>
        <w:tab w:val="left" w:pos="1361"/>
        <w:tab w:val="left" w:pos="1814"/>
        <w:tab w:val="left" w:pos="2268"/>
        <w:tab w:val="left" w:pos="2722"/>
        <w:tab w:val="left" w:pos="3175"/>
        <w:tab w:val="left" w:pos="3629"/>
        <w:tab w:val="left" w:pos="4082"/>
        <w:tab w:val="left" w:pos="4536"/>
      </w:tabs>
      <w:ind w:left="908" w:hanging="454"/>
    </w:pPr>
  </w:style>
  <w:style w:type="paragraph" w:customStyle="1" w:styleId="pagebreak">
    <w:name w:val="pagebreak"/>
    <w:basedOn w:val="broodtekst"/>
    <w:next w:val="broodtekst"/>
    <w:pPr>
      <w:pageBreakBefore/>
    </w:pPr>
  </w:style>
  <w:style w:type="paragraph" w:customStyle="1" w:styleId="pagebreak-vet">
    <w:name w:val="pagebreak-vet"/>
    <w:basedOn w:val="broodtekst-bold"/>
    <w:next w:val="broodtekst"/>
    <w:pPr>
      <w:pageBreakBefore/>
    </w:pPr>
  </w:style>
  <w:style w:type="paragraph" w:customStyle="1" w:styleId="windings">
    <w:name w:val="windings"/>
    <w:basedOn w:val="broodtekst"/>
    <w:next w:val="broodtekst"/>
    <w:rPr>
      <w:rFonts w:ascii="Wingdings 2" w:hAnsi="Wingdings 2"/>
    </w:rPr>
  </w:style>
  <w:style w:type="paragraph" w:customStyle="1" w:styleId="windings-vet">
    <w:name w:val="windings-vet"/>
    <w:basedOn w:val="windings"/>
    <w:rPr>
      <w:b/>
    </w:rPr>
  </w:style>
  <w:style w:type="paragraph" w:customStyle="1" w:styleId="ondertekenaar">
    <w:name w:val="ondertekenaar"/>
    <w:basedOn w:val="broodtekst"/>
  </w:style>
  <w:style w:type="paragraph" w:customStyle="1" w:styleId="broodtekst-i">
    <w:name w:val="broodtekst-i"/>
    <w:basedOn w:val="broodtekst"/>
    <w:rPr>
      <w:i/>
    </w:rPr>
  </w:style>
  <w:style w:type="paragraph" w:customStyle="1" w:styleId="broodtekst-bold-hf">
    <w:name w:val="broodtekst-bold-hf"/>
    <w:basedOn w:val="broodtekst"/>
    <w:rPr>
      <w:b/>
      <w:caps/>
    </w:rPr>
  </w:style>
  <w:style w:type="paragraph" w:customStyle="1" w:styleId="broodtekst-bold-hf-r">
    <w:name w:val="broodtekst-bold-hf-r"/>
    <w:basedOn w:val="broodtekst"/>
    <w:pPr>
      <w:jc w:val="right"/>
    </w:pPr>
    <w:rPr>
      <w:b/>
      <w:caps/>
    </w:rPr>
  </w:style>
  <w:style w:type="paragraph" w:customStyle="1" w:styleId="broodtekst-bold-i">
    <w:name w:val="broodtekst-bold-i"/>
    <w:basedOn w:val="broodtekst"/>
    <w:rPr>
      <w:b/>
      <w:i/>
    </w:rPr>
  </w:style>
  <w:style w:type="paragraph" w:customStyle="1" w:styleId="broodtekst-bold-hf-i">
    <w:name w:val="broodtekst-bold-hf-i"/>
    <w:basedOn w:val="broodtekst"/>
    <w:rPr>
      <w:b/>
      <w:i/>
      <w:caps/>
    </w:rPr>
  </w:style>
  <w:style w:type="paragraph" w:customStyle="1" w:styleId="broodtekst-bold-hf-c">
    <w:name w:val="broodtekst-bold-hf-c"/>
    <w:basedOn w:val="broodtekst"/>
    <w:pPr>
      <w:spacing w:after="240"/>
      <w:jc w:val="center"/>
    </w:pPr>
    <w:rPr>
      <w:b/>
      <w:caps/>
    </w:rPr>
  </w:style>
  <w:style w:type="paragraph" w:customStyle="1" w:styleId="doctypebold18justitie">
    <w:name w:val="doctype_bold18_justitie"/>
    <w:basedOn w:val="broodtekst"/>
    <w:pPr>
      <w:spacing w:line="480" w:lineRule="atLeast"/>
      <w:jc w:val="center"/>
    </w:pPr>
    <w:rPr>
      <w:b/>
      <w:sz w:val="36"/>
    </w:rPr>
  </w:style>
  <w:style w:type="paragraph" w:customStyle="1" w:styleId="broodtekst-hf8">
    <w:name w:val="broodtekst-hf8"/>
    <w:basedOn w:val="broodtekst"/>
    <w:rPr>
      <w:caps/>
      <w:sz w:val="16"/>
    </w:rPr>
  </w:style>
  <w:style w:type="paragraph" w:customStyle="1" w:styleId="bijlagenjustitie">
    <w:name w:val="bijlagen_justitie"/>
    <w:basedOn w:val="opsomming-bolletjesjustitie"/>
  </w:style>
  <w:style w:type="paragraph" w:customStyle="1" w:styleId="lijst-nummer">
    <w:name w:val="lijst-nummer"/>
    <w:basedOn w:val="opsomming-cijfersjustitie"/>
  </w:style>
  <w:style w:type="paragraph" w:customStyle="1" w:styleId="opsom2justitie">
    <w:name w:val="opsom2_justitie"/>
    <w:basedOn w:val="opsomming-streepjesjustitie"/>
  </w:style>
  <w:style w:type="paragraph" w:customStyle="1" w:styleId="Lijst-nummer0">
    <w:name w:val="Lijst-nummer"/>
    <w:basedOn w:val="opsomming-cijfersjustitie"/>
  </w:style>
  <w:style w:type="paragraph" w:customStyle="1" w:styleId="lijst-alphabet">
    <w:name w:val="lijst-alphabet"/>
    <w:basedOn w:val="broodtekst"/>
    <w:next w:val="broodtekst"/>
    <w:pPr>
      <w:numPr>
        <w:numId w:val="20"/>
      </w:numPr>
      <w:tabs>
        <w:tab w:val="clear" w:pos="227"/>
        <w:tab w:val="clear" w:pos="454"/>
        <w:tab w:val="clear" w:pos="680"/>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s>
      <w:suppressAutoHyphens/>
      <w:autoSpaceDE/>
      <w:autoSpaceDN/>
      <w:adjustRightInd/>
      <w:ind w:left="1020" w:hanging="340"/>
    </w:pPr>
    <w:rPr>
      <w:szCs w:val="24"/>
      <w:lang w:eastAsia="en-US"/>
    </w:rPr>
  </w:style>
  <w:style w:type="character" w:customStyle="1" w:styleId="referentiegegevensleeg">
    <w:name w:val="referentiegegevensleeg"/>
    <w:rPr>
      <w:position w:val="-9"/>
    </w:rPr>
  </w:style>
  <w:style w:type="paragraph" w:customStyle="1" w:styleId="Lijst-alphabet0">
    <w:name w:val="Lijst-alphabet"/>
    <w:basedOn w:val="lijst-alphabet"/>
    <w:next w:val="broodtekst"/>
  </w:style>
  <w:style w:type="paragraph" w:customStyle="1" w:styleId="opsomming-bullet">
    <w:name w:val="opsomming-bullet"/>
    <w:basedOn w:val="broodtekst"/>
    <w:pPr>
      <w:tabs>
        <w:tab w:val="left" w:pos="907"/>
        <w:tab w:val="left" w:pos="1134"/>
        <w:tab w:val="left" w:pos="1361"/>
        <w:tab w:val="left" w:pos="1588"/>
        <w:tab w:val="left" w:pos="1814"/>
        <w:tab w:val="left" w:pos="2041"/>
      </w:tabs>
      <w:ind w:left="227" w:hanging="227"/>
    </w:pPr>
  </w:style>
  <w:style w:type="paragraph" w:customStyle="1" w:styleId="referentiegegevparagraaf">
    <w:name w:val="referentiegegevparagraaf"/>
    <w:basedOn w:val="broodtekst"/>
    <w:pPr>
      <w:spacing w:before="25" w:after="25" w:line="130" w:lineRule="atLeast"/>
    </w:pPr>
    <w:rPr>
      <w:noProof/>
      <w:sz w:val="13"/>
      <w:lang w:eastAsia="en-US"/>
    </w:rPr>
  </w:style>
  <w:style w:type="character" w:customStyle="1" w:styleId="broodtekstChar">
    <w:name w:val="broodtekst Char"/>
    <w:basedOn w:val="Standaardalinea-lettertype"/>
    <w:rPr>
      <w:rFonts w:ascii="Verdana" w:hAnsi="Verdana"/>
      <w:sz w:val="18"/>
      <w:szCs w:val="18"/>
      <w:lang w:val="nl-NL" w:eastAsia="nl-NL" w:bidi="ar-SA"/>
    </w:rPr>
  </w:style>
  <w:style w:type="character" w:customStyle="1" w:styleId="witregel2Char">
    <w:name w:val="witregel2 Char"/>
    <w:basedOn w:val="broodtekstChar"/>
    <w:rPr>
      <w:rFonts w:ascii="Verdana" w:hAnsi="Verdana"/>
      <w:sz w:val="2"/>
      <w:szCs w:val="18"/>
      <w:lang w:val="nl-NL" w:eastAsia="nl-NL" w:bidi="ar-SA"/>
    </w:rPr>
  </w:style>
  <w:style w:type="paragraph" w:customStyle="1" w:styleId="afzendgegevens-italic">
    <w:name w:val="afzendgegevens-italic"/>
    <w:basedOn w:val="afzendgegevens"/>
    <w:rPr>
      <w:i/>
      <w:szCs w:val="13"/>
    </w:rPr>
  </w:style>
  <w:style w:type="character" w:customStyle="1" w:styleId="directieregel">
    <w:name w:val="directieregel"/>
    <w:basedOn w:val="Standaardalinea-lettertype"/>
    <w:rPr>
      <w:rFonts w:ascii="Verdana" w:hAnsi="Verdana"/>
      <w:b/>
      <w:position w:val="-9"/>
      <w:sz w:val="13"/>
    </w:rPr>
  </w:style>
  <w:style w:type="paragraph" w:customStyle="1" w:styleId="broodtekst-bold-italic">
    <w:name w:val="broodtekst-bold-italic"/>
    <w:basedOn w:val="broodtekst"/>
    <w:next w:val="broodtekst"/>
    <w:rPr>
      <w:b/>
      <w:i/>
    </w:rPr>
  </w:style>
  <w:style w:type="paragraph" w:customStyle="1" w:styleId="opsomming-lettersjustitie">
    <w:name w:val="opsomming-letters_justitie"/>
    <w:basedOn w:val="broodtekst"/>
    <w:pPr>
      <w:numPr>
        <w:numId w:val="26"/>
      </w:numPr>
      <w:tabs>
        <w:tab w:val="clear" w:pos="227"/>
        <w:tab w:val="clear" w:pos="680"/>
        <w:tab w:val="left" w:pos="907"/>
        <w:tab w:val="left" w:pos="1361"/>
        <w:tab w:val="left" w:pos="1814"/>
        <w:tab w:val="left" w:pos="2268"/>
        <w:tab w:val="left" w:pos="2722"/>
        <w:tab w:val="left" w:pos="3175"/>
        <w:tab w:val="left" w:pos="3629"/>
        <w:tab w:val="left" w:pos="4082"/>
      </w:tabs>
    </w:pPr>
  </w:style>
  <w:style w:type="paragraph" w:customStyle="1" w:styleId="tabelkop">
    <w:name w:val="tabelkop"/>
    <w:basedOn w:val="broodtekst"/>
    <w:rPr>
      <w:b/>
      <w:sz w:val="14"/>
    </w:rPr>
  </w:style>
  <w:style w:type="paragraph" w:customStyle="1" w:styleId="tabeltekst">
    <w:name w:val="tabeltekst"/>
    <w:basedOn w:val="broodtekst"/>
    <w:rPr>
      <w:sz w:val="14"/>
    </w:rPr>
  </w:style>
  <w:style w:type="paragraph" w:customStyle="1" w:styleId="opsommingsvinkAan">
    <w:name w:val="opsommingsvink_Aan"/>
    <w:basedOn w:val="broodtekst"/>
    <w:pPr>
      <w:widowControl w:val="0"/>
      <w:numPr>
        <w:numId w:val="28"/>
      </w:numPr>
      <w:tabs>
        <w:tab w:val="clear" w:pos="227"/>
        <w:tab w:val="clear" w:pos="680"/>
        <w:tab w:val="left" w:pos="907"/>
        <w:tab w:val="left" w:pos="1361"/>
        <w:tab w:val="left" w:pos="1814"/>
        <w:tab w:val="left" w:pos="2268"/>
        <w:tab w:val="left" w:pos="2722"/>
        <w:tab w:val="left" w:pos="3175"/>
        <w:tab w:val="left" w:pos="3629"/>
        <w:tab w:val="left" w:pos="4082"/>
      </w:tabs>
    </w:pPr>
    <w:rPr>
      <w:szCs w:val="24"/>
    </w:rPr>
  </w:style>
  <w:style w:type="paragraph" w:customStyle="1" w:styleId="opsommingsvinkUit">
    <w:name w:val="opsommingsvink_Uit"/>
    <w:basedOn w:val="broodtekst"/>
    <w:pPr>
      <w:widowControl w:val="0"/>
      <w:numPr>
        <w:numId w:val="29"/>
      </w:numPr>
      <w:tabs>
        <w:tab w:val="clear" w:pos="227"/>
        <w:tab w:val="clear" w:pos="680"/>
        <w:tab w:val="left" w:pos="907"/>
        <w:tab w:val="left" w:pos="1361"/>
        <w:tab w:val="left" w:pos="1814"/>
        <w:tab w:val="left" w:pos="2268"/>
        <w:tab w:val="left" w:pos="2722"/>
        <w:tab w:val="left" w:pos="3175"/>
        <w:tab w:val="left" w:pos="3629"/>
        <w:tab w:val="left" w:pos="4082"/>
      </w:tabs>
    </w:pPr>
    <w:rPr>
      <w:szCs w:val="24"/>
    </w:rPr>
  </w:style>
  <w:style w:type="paragraph" w:styleId="Voetnoottekst">
    <w:name w:val="footnote text"/>
    <w:basedOn w:val="Standaard"/>
    <w:semiHidden/>
    <w:rPr>
      <w:sz w:val="16"/>
      <w:szCs w:val="20"/>
    </w:rPr>
  </w:style>
  <w:style w:type="character" w:styleId="Voetnootmarkering">
    <w:name w:val="footnote reference"/>
    <w:basedOn w:val="Standaardalinea-lettertype"/>
    <w:semiHidden/>
    <w:rPr>
      <w:vertAlign w:val="superscript"/>
    </w:rPr>
  </w:style>
  <w:style w:type="character" w:styleId="Verwijzingopmerking">
    <w:name w:val="annotation reference"/>
    <w:basedOn w:val="Standaardalinea-lettertype"/>
    <w:rsid w:val="008F7046"/>
    <w:rPr>
      <w:sz w:val="16"/>
      <w:szCs w:val="16"/>
    </w:rPr>
  </w:style>
  <w:style w:type="paragraph" w:styleId="Tekstopmerking">
    <w:name w:val="annotation text"/>
    <w:basedOn w:val="Standaard"/>
    <w:link w:val="TekstopmerkingChar"/>
    <w:rsid w:val="008F7046"/>
    <w:pPr>
      <w:spacing w:line="240" w:lineRule="auto"/>
    </w:pPr>
    <w:rPr>
      <w:sz w:val="20"/>
      <w:szCs w:val="20"/>
    </w:rPr>
  </w:style>
  <w:style w:type="character" w:customStyle="1" w:styleId="TekstopmerkingChar">
    <w:name w:val="Tekst opmerking Char"/>
    <w:basedOn w:val="Standaardalinea-lettertype"/>
    <w:link w:val="Tekstopmerking"/>
    <w:rsid w:val="008F7046"/>
    <w:rPr>
      <w:rFonts w:ascii="Verdana" w:hAnsi="Verdana"/>
    </w:rPr>
  </w:style>
  <w:style w:type="paragraph" w:styleId="Onderwerpvanopmerking">
    <w:name w:val="annotation subject"/>
    <w:basedOn w:val="Tekstopmerking"/>
    <w:next w:val="Tekstopmerking"/>
    <w:link w:val="OnderwerpvanopmerkingChar"/>
    <w:rsid w:val="008F7046"/>
    <w:rPr>
      <w:b/>
      <w:bCs/>
    </w:rPr>
  </w:style>
  <w:style w:type="character" w:customStyle="1" w:styleId="OnderwerpvanopmerkingChar">
    <w:name w:val="Onderwerp van opmerking Char"/>
    <w:basedOn w:val="TekstopmerkingChar"/>
    <w:link w:val="Onderwerpvanopmerking"/>
    <w:rsid w:val="008F7046"/>
    <w:rPr>
      <w:rFonts w:ascii="Verdana" w:hAnsi="Verdana"/>
      <w:b/>
      <w:bCs/>
    </w:rPr>
  </w:style>
  <w:style w:type="paragraph" w:styleId="Ballontekst">
    <w:name w:val="Balloon Text"/>
    <w:basedOn w:val="Standaard"/>
    <w:link w:val="BallontekstChar"/>
    <w:rsid w:val="008F7046"/>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8F7046"/>
    <w:rPr>
      <w:rFonts w:ascii="Tahoma" w:hAnsi="Tahoma" w:cs="Tahoma"/>
      <w:sz w:val="16"/>
      <w:szCs w:val="16"/>
    </w:rPr>
  </w:style>
  <w:style w:type="paragraph" w:styleId="Eindnoottekst">
    <w:name w:val="endnote text"/>
    <w:basedOn w:val="Standaard"/>
    <w:link w:val="EindnoottekstChar"/>
    <w:rsid w:val="00445F3E"/>
    <w:pPr>
      <w:spacing w:line="240" w:lineRule="auto"/>
    </w:pPr>
    <w:rPr>
      <w:sz w:val="20"/>
      <w:szCs w:val="20"/>
    </w:rPr>
  </w:style>
  <w:style w:type="character" w:customStyle="1" w:styleId="EindnoottekstChar">
    <w:name w:val="Eindnoottekst Char"/>
    <w:basedOn w:val="Standaardalinea-lettertype"/>
    <w:link w:val="Eindnoottekst"/>
    <w:rsid w:val="00445F3E"/>
    <w:rPr>
      <w:rFonts w:ascii="Verdana" w:hAnsi="Verdana"/>
    </w:rPr>
  </w:style>
  <w:style w:type="character" w:styleId="Eindnootmarkering">
    <w:name w:val="endnote reference"/>
    <w:basedOn w:val="Standaardalinea-lettertype"/>
    <w:rsid w:val="00445F3E"/>
    <w:rPr>
      <w:vertAlign w:val="superscript"/>
    </w:rPr>
  </w:style>
  <w:style w:type="paragraph" w:styleId="Revisie">
    <w:name w:val="Revision"/>
    <w:hidden/>
    <w:uiPriority w:val="99"/>
    <w:semiHidden/>
    <w:rsid w:val="005B0B7F"/>
    <w:rPr>
      <w:rFonts w:ascii="Verdana" w:hAnsi="Verdana"/>
      <w:sz w:val="18"/>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pPr>
      <w:spacing w:line="240" w:lineRule="atLeast"/>
    </w:pPr>
    <w:rPr>
      <w:rFonts w:ascii="Verdana" w:hAnsi="Verdana"/>
      <w:sz w:val="18"/>
      <w:szCs w:val="24"/>
    </w:rPr>
  </w:style>
  <w:style w:type="paragraph" w:styleId="Kop1">
    <w:name w:val="heading 1"/>
    <w:basedOn w:val="broodtekst"/>
    <w:next w:val="Standaard"/>
    <w:qFormat/>
    <w:pPr>
      <w:keepNext/>
      <w:spacing w:before="240" w:after="60"/>
      <w:outlineLvl w:val="0"/>
    </w:pPr>
    <w:rPr>
      <w:rFonts w:cs="Arial"/>
      <w:b/>
      <w:bCs/>
      <w:kern w:val="32"/>
      <w:sz w:val="32"/>
      <w:szCs w:val="32"/>
    </w:rPr>
  </w:style>
  <w:style w:type="paragraph" w:styleId="Kop2">
    <w:name w:val="heading 2"/>
    <w:basedOn w:val="broodtekst"/>
    <w:next w:val="Standaard"/>
    <w:qFormat/>
    <w:pPr>
      <w:keepNext/>
      <w:spacing w:before="240" w:after="60"/>
      <w:outlineLvl w:val="1"/>
    </w:pPr>
    <w:rPr>
      <w:rFonts w:cs="Arial"/>
      <w:b/>
      <w:bCs/>
      <w:i/>
      <w:iCs/>
      <w:sz w:val="28"/>
      <w:szCs w:val="28"/>
    </w:rPr>
  </w:style>
  <w:style w:type="paragraph" w:styleId="Kop3">
    <w:name w:val="heading 3"/>
    <w:basedOn w:val="broodtekst"/>
    <w:next w:val="Standaard"/>
    <w:qFormat/>
    <w:pPr>
      <w:keepNext/>
      <w:spacing w:before="240" w:after="60"/>
      <w:outlineLvl w:val="2"/>
    </w:pPr>
    <w:rPr>
      <w:rFonts w:cs="Arial"/>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roodtekst">
    <w:name w:val="broodtekst"/>
    <w:basedOn w:val="Standaard"/>
    <w:pPr>
      <w:tabs>
        <w:tab w:val="left" w:pos="227"/>
        <w:tab w:val="left" w:pos="454"/>
        <w:tab w:val="left" w:pos="680"/>
      </w:tabs>
      <w:autoSpaceDE w:val="0"/>
      <w:autoSpaceDN w:val="0"/>
      <w:adjustRightInd w:val="0"/>
    </w:pPr>
    <w:rPr>
      <w:szCs w:val="18"/>
    </w:rPr>
  </w:style>
  <w:style w:type="paragraph" w:styleId="Koptekst">
    <w:name w:val="header"/>
    <w:basedOn w:val="broodtekst"/>
    <w:pPr>
      <w:tabs>
        <w:tab w:val="center" w:pos="4536"/>
        <w:tab w:val="right" w:pos="9072"/>
      </w:tabs>
    </w:pPr>
  </w:style>
  <w:style w:type="paragraph" w:styleId="Voettekst">
    <w:name w:val="footer"/>
    <w:basedOn w:val="broodtekst"/>
    <w:pPr>
      <w:tabs>
        <w:tab w:val="center" w:pos="4536"/>
        <w:tab w:val="right" w:pos="9072"/>
      </w:tabs>
    </w:pPr>
  </w:style>
  <w:style w:type="character" w:styleId="GevolgdeHyperlink">
    <w:name w:val="FollowedHyperlink"/>
    <w:basedOn w:val="Standaardalinea-lettertype"/>
    <w:rPr>
      <w:color w:val="800080"/>
      <w:u w:val="single"/>
    </w:rPr>
  </w:style>
  <w:style w:type="paragraph" w:customStyle="1" w:styleId="Huisstijl-Adres">
    <w:name w:val="Huisstijl-Adres"/>
    <w:basedOn w:val="broodtekst"/>
    <w:pPr>
      <w:tabs>
        <w:tab w:val="left" w:pos="192"/>
      </w:tabs>
      <w:spacing w:after="90" w:line="180" w:lineRule="exact"/>
    </w:pPr>
    <w:rPr>
      <w:noProof/>
      <w:sz w:val="13"/>
      <w:szCs w:val="13"/>
    </w:rPr>
  </w:style>
  <w:style w:type="paragraph" w:styleId="Lijstopsomteken">
    <w:name w:val="List Bullet"/>
    <w:basedOn w:val="broodtekst"/>
    <w:pPr>
      <w:numPr>
        <w:numId w:val="1"/>
      </w:numPr>
    </w:pPr>
    <w:rPr>
      <w:noProof/>
    </w:rPr>
  </w:style>
  <w:style w:type="character" w:customStyle="1" w:styleId="Huisstijl-GegevenCharChar">
    <w:name w:val="Huisstijl-Gegeven Char Char"/>
    <w:basedOn w:val="Standaardalinea-lettertype"/>
    <w:rPr>
      <w:rFonts w:ascii="Verdana" w:hAnsi="Verdana"/>
      <w:noProof/>
      <w:sz w:val="13"/>
      <w:szCs w:val="24"/>
      <w:lang w:val="nl-NL" w:eastAsia="nl-NL" w:bidi="ar-SA"/>
    </w:rPr>
  </w:style>
  <w:style w:type="paragraph" w:customStyle="1" w:styleId="Huisstijl-Gegeven">
    <w:name w:val="Huisstijl-Gegeven"/>
    <w:basedOn w:val="broodtekst"/>
    <w:pPr>
      <w:spacing w:after="92" w:line="180" w:lineRule="atLeast"/>
    </w:pPr>
    <w:rPr>
      <w:noProof/>
      <w:sz w:val="13"/>
    </w:rPr>
  </w:style>
  <w:style w:type="paragraph" w:customStyle="1" w:styleId="witregel1">
    <w:name w:val="witregel1"/>
    <w:basedOn w:val="broodtekst"/>
    <w:pPr>
      <w:spacing w:line="90" w:lineRule="atLeast"/>
    </w:pPr>
    <w:rPr>
      <w:sz w:val="2"/>
    </w:rPr>
  </w:style>
  <w:style w:type="paragraph" w:customStyle="1" w:styleId="Huisstijl-Rubricering">
    <w:name w:val="Huisstijl-Rubricering"/>
    <w:basedOn w:val="broodtekst"/>
    <w:pPr>
      <w:spacing w:line="180" w:lineRule="exact"/>
    </w:pPr>
    <w:rPr>
      <w:b/>
      <w:bCs/>
      <w:caps/>
      <w:noProof/>
      <w:sz w:val="13"/>
      <w:szCs w:val="13"/>
    </w:rPr>
  </w:style>
  <w:style w:type="paragraph" w:customStyle="1" w:styleId="adres">
    <w:name w:val="adres"/>
    <w:basedOn w:val="broodtekst"/>
    <w:rPr>
      <w:noProof/>
    </w:rPr>
  </w:style>
  <w:style w:type="character" w:styleId="Hyperlink">
    <w:name w:val="Hyperlink"/>
    <w:basedOn w:val="Standaardalinea-lettertype"/>
    <w:rPr>
      <w:color w:val="0000FF"/>
      <w:u w:val="single"/>
    </w:rPr>
  </w:style>
  <w:style w:type="paragraph" w:customStyle="1" w:styleId="Huisstijl-Retouradres">
    <w:name w:val="Huisstijl-Retouradres"/>
    <w:basedOn w:val="broodtekst"/>
    <w:pPr>
      <w:spacing w:line="180" w:lineRule="exact"/>
    </w:pPr>
    <w:rPr>
      <w:noProof/>
      <w:sz w:val="13"/>
    </w:rPr>
  </w:style>
  <w:style w:type="paragraph" w:customStyle="1" w:styleId="Huisstijl-Kopje">
    <w:name w:val="Huisstijl-Kopje"/>
    <w:basedOn w:val="broodtekst"/>
    <w:pPr>
      <w:spacing w:line="180" w:lineRule="atLeast"/>
    </w:pPr>
    <w:rPr>
      <w:b/>
      <w:sz w:val="13"/>
    </w:rPr>
  </w:style>
  <w:style w:type="paragraph" w:customStyle="1" w:styleId="Huisstijl-Voorwaarden">
    <w:name w:val="Huisstijl-Voorwaarden"/>
    <w:basedOn w:val="broodtekst"/>
    <w:pPr>
      <w:spacing w:line="180" w:lineRule="exact"/>
    </w:pPr>
    <w:rPr>
      <w:i/>
      <w:noProof/>
      <w:sz w:val="13"/>
    </w:rPr>
  </w:style>
  <w:style w:type="paragraph" w:customStyle="1" w:styleId="kixcode">
    <w:name w:val="kixcode"/>
    <w:basedOn w:val="broodtekst"/>
    <w:pPr>
      <w:spacing w:before="60" w:line="240" w:lineRule="auto"/>
    </w:pPr>
    <w:rPr>
      <w:rFonts w:ascii="KIX Barcode" w:hAnsi="KIX Barcode"/>
      <w:b/>
      <w:bCs/>
      <w:smallCaps/>
      <w:noProof/>
      <w:sz w:val="24"/>
    </w:rPr>
  </w:style>
  <w:style w:type="paragraph" w:customStyle="1" w:styleId="Huisstijl-Paginanummering">
    <w:name w:val="Huisstijl-Paginanummering"/>
    <w:basedOn w:val="broodtekst"/>
    <w:pPr>
      <w:spacing w:line="180" w:lineRule="exact"/>
    </w:pPr>
    <w:rPr>
      <w:noProof/>
      <w:sz w:val="13"/>
    </w:rPr>
  </w:style>
  <w:style w:type="paragraph" w:styleId="Lijstopsomteken2">
    <w:name w:val="List Bullet 2"/>
    <w:basedOn w:val="broodtekst"/>
    <w:pPr>
      <w:numPr>
        <w:numId w:val="14"/>
      </w:numPr>
      <w:tabs>
        <w:tab w:val="clear" w:pos="227"/>
      </w:tabs>
      <w:ind w:left="454" w:hanging="227"/>
    </w:pPr>
    <w:rPr>
      <w:noProof/>
    </w:rPr>
  </w:style>
  <w:style w:type="paragraph" w:customStyle="1" w:styleId="minofdir">
    <w:name w:val="minofdir"/>
    <w:basedOn w:val="broodtekst"/>
    <w:rPr>
      <w:rFonts w:ascii="RO VenW" w:hAnsi="RO VenW"/>
      <w:sz w:val="220"/>
    </w:rPr>
  </w:style>
  <w:style w:type="paragraph" w:customStyle="1" w:styleId="opsomming-bolletjesjustitie">
    <w:name w:val="opsomming-bolletjes_justitie"/>
    <w:basedOn w:val="broodtekst"/>
    <w:pPr>
      <w:numPr>
        <w:numId w:val="24"/>
      </w:numPr>
      <w:tabs>
        <w:tab w:val="clear" w:pos="227"/>
        <w:tab w:val="clear" w:pos="680"/>
        <w:tab w:val="left" w:pos="907"/>
        <w:tab w:val="left" w:pos="1361"/>
        <w:tab w:val="left" w:pos="1814"/>
        <w:tab w:val="left" w:pos="2268"/>
        <w:tab w:val="left" w:pos="2722"/>
        <w:tab w:val="left" w:pos="3175"/>
        <w:tab w:val="left" w:pos="3629"/>
        <w:tab w:val="left" w:pos="4082"/>
      </w:tabs>
    </w:pPr>
  </w:style>
  <w:style w:type="paragraph" w:styleId="Bijschrift">
    <w:name w:val="caption"/>
    <w:basedOn w:val="Standaard"/>
    <w:next w:val="Standaard"/>
    <w:qFormat/>
    <w:pPr>
      <w:spacing w:before="120" w:after="120"/>
    </w:pPr>
    <w:rPr>
      <w:b/>
      <w:bCs/>
      <w:sz w:val="20"/>
      <w:szCs w:val="20"/>
    </w:rPr>
  </w:style>
  <w:style w:type="paragraph" w:customStyle="1" w:styleId="opsomming-cijfersjustitie">
    <w:name w:val="opsomming-cijfers_justitie"/>
    <w:basedOn w:val="broodtekst"/>
    <w:pPr>
      <w:numPr>
        <w:numId w:val="25"/>
      </w:numPr>
      <w:tabs>
        <w:tab w:val="clear" w:pos="227"/>
        <w:tab w:val="clear" w:pos="680"/>
        <w:tab w:val="left" w:pos="907"/>
        <w:tab w:val="left" w:pos="1361"/>
        <w:tab w:val="left" w:pos="1814"/>
        <w:tab w:val="left" w:pos="2268"/>
        <w:tab w:val="left" w:pos="2722"/>
        <w:tab w:val="left" w:pos="3175"/>
        <w:tab w:val="left" w:pos="3629"/>
        <w:tab w:val="left" w:pos="4082"/>
      </w:tabs>
    </w:pPr>
  </w:style>
  <w:style w:type="paragraph" w:customStyle="1" w:styleId="datumonderwerp">
    <w:name w:val="datumonderwerp"/>
    <w:basedOn w:val="broodtekst"/>
    <w:pPr>
      <w:tabs>
        <w:tab w:val="clear" w:pos="227"/>
        <w:tab w:val="clear" w:pos="454"/>
        <w:tab w:val="clear" w:pos="680"/>
        <w:tab w:val="left" w:pos="794"/>
      </w:tabs>
    </w:pPr>
  </w:style>
  <w:style w:type="character" w:styleId="Paginanummer">
    <w:name w:val="page number"/>
    <w:basedOn w:val="Standaardalinea-lettertype"/>
  </w:style>
  <w:style w:type="paragraph" w:customStyle="1" w:styleId="afzendkopje">
    <w:name w:val="afzendkopje"/>
    <w:basedOn w:val="broodtekst"/>
    <w:pPr>
      <w:spacing w:line="180" w:lineRule="atLeast"/>
    </w:pPr>
    <w:rPr>
      <w:b/>
      <w:sz w:val="13"/>
    </w:rPr>
  </w:style>
  <w:style w:type="paragraph" w:customStyle="1" w:styleId="afzendgegevens">
    <w:name w:val="afzendgegevens"/>
    <w:basedOn w:val="broodtekst"/>
    <w:pPr>
      <w:spacing w:line="180" w:lineRule="atLeast"/>
    </w:pPr>
    <w:rPr>
      <w:sz w:val="13"/>
    </w:rPr>
  </w:style>
  <w:style w:type="paragraph" w:customStyle="1" w:styleId="lijst-nummer1">
    <w:name w:val="lijst-nummer1"/>
    <w:basedOn w:val="broodtekst"/>
    <w:next w:val="broodtekst"/>
    <w:pPr>
      <w:numPr>
        <w:numId w:val="19"/>
      </w:numPr>
      <w:tabs>
        <w:tab w:val="clear" w:pos="227"/>
        <w:tab w:val="clear" w:pos="454"/>
        <w:tab w:val="clear" w:pos="680"/>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s>
      <w:suppressAutoHyphens/>
      <w:autoSpaceDE/>
      <w:autoSpaceDN/>
      <w:adjustRightInd/>
    </w:pPr>
    <w:rPr>
      <w:szCs w:val="24"/>
      <w:lang w:eastAsia="en-US"/>
    </w:rPr>
  </w:style>
  <w:style w:type="paragraph" w:customStyle="1" w:styleId="referentiegegevens">
    <w:name w:val="referentiegegevens"/>
    <w:basedOn w:val="broodtekst"/>
    <w:pPr>
      <w:spacing w:line="180" w:lineRule="atLeast"/>
    </w:pPr>
    <w:rPr>
      <w:sz w:val="13"/>
    </w:rPr>
  </w:style>
  <w:style w:type="paragraph" w:customStyle="1" w:styleId="referentiekopjes">
    <w:name w:val="referentiekopjes"/>
    <w:basedOn w:val="broodtekst"/>
    <w:next w:val="referentiegegevens"/>
    <w:pPr>
      <w:spacing w:line="180" w:lineRule="atLeast"/>
    </w:pPr>
    <w:rPr>
      <w:b/>
      <w:sz w:val="13"/>
    </w:rPr>
  </w:style>
  <w:style w:type="paragraph" w:customStyle="1" w:styleId="witregel2">
    <w:name w:val="witregel2"/>
    <w:basedOn w:val="broodtekst"/>
    <w:pPr>
      <w:spacing w:line="270" w:lineRule="atLeast"/>
    </w:pPr>
    <w:rPr>
      <w:sz w:val="2"/>
    </w:rPr>
  </w:style>
  <w:style w:type="paragraph" w:customStyle="1" w:styleId="clausule">
    <w:name w:val="clausule"/>
    <w:basedOn w:val="broodtekst"/>
    <w:pPr>
      <w:spacing w:line="180" w:lineRule="atLeast"/>
    </w:pPr>
    <w:rPr>
      <w:i/>
      <w:sz w:val="13"/>
    </w:rPr>
  </w:style>
  <w:style w:type="paragraph" w:customStyle="1" w:styleId="afzendgegevens-bold">
    <w:name w:val="afzendgegevens-bold"/>
    <w:basedOn w:val="afzendgegevens"/>
    <w:rPr>
      <w:b/>
    </w:rPr>
  </w:style>
  <w:style w:type="paragraph" w:customStyle="1" w:styleId="aanhef">
    <w:name w:val="aanhef"/>
    <w:basedOn w:val="broodtekst"/>
    <w:next w:val="broodtekst"/>
    <w:pPr>
      <w:spacing w:after="240"/>
    </w:pPr>
  </w:style>
  <w:style w:type="paragraph" w:customStyle="1" w:styleId="broodtekst-bold">
    <w:name w:val="broodtekst-bold"/>
    <w:basedOn w:val="broodtekst"/>
    <w:rPr>
      <w:b/>
    </w:rPr>
  </w:style>
  <w:style w:type="paragraph" w:customStyle="1" w:styleId="broodtekst-vet-pagebreak">
    <w:name w:val="broodtekst-vet-pagebreak"/>
    <w:basedOn w:val="broodtekst"/>
    <w:next w:val="broodtekst"/>
    <w:pPr>
      <w:pageBreakBefore/>
    </w:pPr>
    <w:rPr>
      <w:b/>
    </w:rPr>
  </w:style>
  <w:style w:type="paragraph" w:customStyle="1" w:styleId="broodtekst-12-vet">
    <w:name w:val="broodtekst-12-vet"/>
    <w:basedOn w:val="broodtekst"/>
    <w:rPr>
      <w:b/>
      <w:sz w:val="24"/>
    </w:rPr>
  </w:style>
  <w:style w:type="paragraph" w:customStyle="1" w:styleId="groetregel">
    <w:name w:val="groetregel"/>
    <w:basedOn w:val="broodtekst"/>
    <w:next w:val="broodtekst"/>
    <w:pPr>
      <w:spacing w:before="240"/>
    </w:pPr>
  </w:style>
  <w:style w:type="paragraph" w:customStyle="1" w:styleId="in-table">
    <w:name w:val="in-table"/>
    <w:basedOn w:val="broodtekst"/>
    <w:pPr>
      <w:spacing w:line="0" w:lineRule="atLeast"/>
    </w:pPr>
    <w:rPr>
      <w:sz w:val="2"/>
    </w:rPr>
  </w:style>
  <w:style w:type="character" w:customStyle="1" w:styleId="clausuleregel">
    <w:name w:val="clausuleregel"/>
    <w:basedOn w:val="Standaardalinea-lettertype"/>
    <w:rPr>
      <w:rFonts w:ascii="Verdana" w:hAnsi="Verdana"/>
      <w:i/>
      <w:position w:val="-9"/>
      <w:sz w:val="13"/>
    </w:rPr>
  </w:style>
  <w:style w:type="paragraph" w:customStyle="1" w:styleId="kop1justitie">
    <w:name w:val="kop1_justitie"/>
    <w:basedOn w:val="broodtekst"/>
    <w:next w:val="broodtekst"/>
    <w:pPr>
      <w:numPr>
        <w:numId w:val="17"/>
      </w:numPr>
      <w:tabs>
        <w:tab w:val="clear" w:pos="227"/>
        <w:tab w:val="clear" w:pos="454"/>
        <w:tab w:val="clear" w:pos="680"/>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s>
      <w:spacing w:before="240" w:after="60" w:line="300" w:lineRule="atLeast"/>
    </w:pPr>
    <w:rPr>
      <w:b/>
      <w:sz w:val="30"/>
    </w:rPr>
  </w:style>
  <w:style w:type="paragraph" w:customStyle="1" w:styleId="kop2justitie">
    <w:name w:val="kop2_justitie"/>
    <w:basedOn w:val="broodtekst"/>
    <w:next w:val="broodtekst"/>
    <w:pPr>
      <w:numPr>
        <w:ilvl w:val="1"/>
        <w:numId w:val="17"/>
      </w:numPr>
      <w:tabs>
        <w:tab w:val="clear" w:pos="227"/>
        <w:tab w:val="clear" w:pos="454"/>
        <w:tab w:val="clear" w:pos="680"/>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 w:val="left" w:pos="12758"/>
      </w:tabs>
      <w:spacing w:before="240" w:after="60" w:line="300" w:lineRule="atLeast"/>
    </w:pPr>
    <w:rPr>
      <w:b/>
      <w:sz w:val="26"/>
    </w:rPr>
  </w:style>
  <w:style w:type="paragraph" w:customStyle="1" w:styleId="kop3justitie">
    <w:name w:val="kop3_justitie"/>
    <w:basedOn w:val="broodtekst"/>
    <w:next w:val="broodtekst"/>
    <w:pPr>
      <w:numPr>
        <w:ilvl w:val="2"/>
        <w:numId w:val="17"/>
      </w:numPr>
      <w:tabs>
        <w:tab w:val="clear" w:pos="227"/>
        <w:tab w:val="clear" w:pos="454"/>
        <w:tab w:val="clear" w:pos="680"/>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s>
      <w:spacing w:before="240" w:after="60" w:line="300" w:lineRule="atLeast"/>
    </w:pPr>
    <w:rPr>
      <w:b/>
      <w:sz w:val="22"/>
    </w:rPr>
  </w:style>
  <w:style w:type="paragraph" w:customStyle="1" w:styleId="kop20">
    <w:name w:val="kop2"/>
    <w:basedOn w:val="Standaard"/>
  </w:style>
  <w:style w:type="paragraph" w:customStyle="1" w:styleId="kop30">
    <w:name w:val="kop3"/>
    <w:basedOn w:val="Standaard"/>
  </w:style>
  <w:style w:type="paragraph" w:customStyle="1" w:styleId="opsomming-streepjesjustitie">
    <w:name w:val="opsomming-streepjes_justitie"/>
    <w:basedOn w:val="broodtekst"/>
    <w:pPr>
      <w:numPr>
        <w:numId w:val="27"/>
      </w:numPr>
      <w:tabs>
        <w:tab w:val="clear" w:pos="227"/>
        <w:tab w:val="clear" w:pos="680"/>
        <w:tab w:val="left" w:pos="907"/>
        <w:tab w:val="left" w:pos="1361"/>
        <w:tab w:val="left" w:pos="1814"/>
        <w:tab w:val="left" w:pos="2268"/>
        <w:tab w:val="left" w:pos="2722"/>
        <w:tab w:val="left" w:pos="3175"/>
        <w:tab w:val="left" w:pos="3629"/>
        <w:tab w:val="left" w:pos="4082"/>
        <w:tab w:val="left" w:pos="4536"/>
      </w:tabs>
      <w:ind w:left="908" w:hanging="454"/>
    </w:pPr>
  </w:style>
  <w:style w:type="paragraph" w:customStyle="1" w:styleId="pagebreak">
    <w:name w:val="pagebreak"/>
    <w:basedOn w:val="broodtekst"/>
    <w:next w:val="broodtekst"/>
    <w:pPr>
      <w:pageBreakBefore/>
    </w:pPr>
  </w:style>
  <w:style w:type="paragraph" w:customStyle="1" w:styleId="pagebreak-vet">
    <w:name w:val="pagebreak-vet"/>
    <w:basedOn w:val="broodtekst-bold"/>
    <w:next w:val="broodtekst"/>
    <w:pPr>
      <w:pageBreakBefore/>
    </w:pPr>
  </w:style>
  <w:style w:type="paragraph" w:customStyle="1" w:styleId="windings">
    <w:name w:val="windings"/>
    <w:basedOn w:val="broodtekst"/>
    <w:next w:val="broodtekst"/>
    <w:rPr>
      <w:rFonts w:ascii="Wingdings 2" w:hAnsi="Wingdings 2"/>
    </w:rPr>
  </w:style>
  <w:style w:type="paragraph" w:customStyle="1" w:styleId="windings-vet">
    <w:name w:val="windings-vet"/>
    <w:basedOn w:val="windings"/>
    <w:rPr>
      <w:b/>
    </w:rPr>
  </w:style>
  <w:style w:type="paragraph" w:customStyle="1" w:styleId="ondertekenaar">
    <w:name w:val="ondertekenaar"/>
    <w:basedOn w:val="broodtekst"/>
  </w:style>
  <w:style w:type="paragraph" w:customStyle="1" w:styleId="broodtekst-i">
    <w:name w:val="broodtekst-i"/>
    <w:basedOn w:val="broodtekst"/>
    <w:rPr>
      <w:i/>
    </w:rPr>
  </w:style>
  <w:style w:type="paragraph" w:customStyle="1" w:styleId="broodtekst-bold-hf">
    <w:name w:val="broodtekst-bold-hf"/>
    <w:basedOn w:val="broodtekst"/>
    <w:rPr>
      <w:b/>
      <w:caps/>
    </w:rPr>
  </w:style>
  <w:style w:type="paragraph" w:customStyle="1" w:styleId="broodtekst-bold-hf-r">
    <w:name w:val="broodtekst-bold-hf-r"/>
    <w:basedOn w:val="broodtekst"/>
    <w:pPr>
      <w:jc w:val="right"/>
    </w:pPr>
    <w:rPr>
      <w:b/>
      <w:caps/>
    </w:rPr>
  </w:style>
  <w:style w:type="paragraph" w:customStyle="1" w:styleId="broodtekst-bold-i">
    <w:name w:val="broodtekst-bold-i"/>
    <w:basedOn w:val="broodtekst"/>
    <w:rPr>
      <w:b/>
      <w:i/>
    </w:rPr>
  </w:style>
  <w:style w:type="paragraph" w:customStyle="1" w:styleId="broodtekst-bold-hf-i">
    <w:name w:val="broodtekst-bold-hf-i"/>
    <w:basedOn w:val="broodtekst"/>
    <w:rPr>
      <w:b/>
      <w:i/>
      <w:caps/>
    </w:rPr>
  </w:style>
  <w:style w:type="paragraph" w:customStyle="1" w:styleId="broodtekst-bold-hf-c">
    <w:name w:val="broodtekst-bold-hf-c"/>
    <w:basedOn w:val="broodtekst"/>
    <w:pPr>
      <w:spacing w:after="240"/>
      <w:jc w:val="center"/>
    </w:pPr>
    <w:rPr>
      <w:b/>
      <w:caps/>
    </w:rPr>
  </w:style>
  <w:style w:type="paragraph" w:customStyle="1" w:styleId="doctypebold18justitie">
    <w:name w:val="doctype_bold18_justitie"/>
    <w:basedOn w:val="broodtekst"/>
    <w:pPr>
      <w:spacing w:line="480" w:lineRule="atLeast"/>
      <w:jc w:val="center"/>
    </w:pPr>
    <w:rPr>
      <w:b/>
      <w:sz w:val="36"/>
    </w:rPr>
  </w:style>
  <w:style w:type="paragraph" w:customStyle="1" w:styleId="broodtekst-hf8">
    <w:name w:val="broodtekst-hf8"/>
    <w:basedOn w:val="broodtekst"/>
    <w:rPr>
      <w:caps/>
      <w:sz w:val="16"/>
    </w:rPr>
  </w:style>
  <w:style w:type="paragraph" w:customStyle="1" w:styleId="bijlagenjustitie">
    <w:name w:val="bijlagen_justitie"/>
    <w:basedOn w:val="opsomming-bolletjesjustitie"/>
  </w:style>
  <w:style w:type="paragraph" w:customStyle="1" w:styleId="lijst-nummer">
    <w:name w:val="lijst-nummer"/>
    <w:basedOn w:val="opsomming-cijfersjustitie"/>
  </w:style>
  <w:style w:type="paragraph" w:customStyle="1" w:styleId="opsom2justitie">
    <w:name w:val="opsom2_justitie"/>
    <w:basedOn w:val="opsomming-streepjesjustitie"/>
  </w:style>
  <w:style w:type="paragraph" w:customStyle="1" w:styleId="Lijst-nummer0">
    <w:name w:val="Lijst-nummer"/>
    <w:basedOn w:val="opsomming-cijfersjustitie"/>
  </w:style>
  <w:style w:type="paragraph" w:customStyle="1" w:styleId="lijst-alphabet">
    <w:name w:val="lijst-alphabet"/>
    <w:basedOn w:val="broodtekst"/>
    <w:next w:val="broodtekst"/>
    <w:pPr>
      <w:numPr>
        <w:numId w:val="20"/>
      </w:numPr>
      <w:tabs>
        <w:tab w:val="clear" w:pos="227"/>
        <w:tab w:val="clear" w:pos="454"/>
        <w:tab w:val="clear" w:pos="680"/>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s>
      <w:suppressAutoHyphens/>
      <w:autoSpaceDE/>
      <w:autoSpaceDN/>
      <w:adjustRightInd/>
      <w:ind w:left="1020" w:hanging="340"/>
    </w:pPr>
    <w:rPr>
      <w:szCs w:val="24"/>
      <w:lang w:eastAsia="en-US"/>
    </w:rPr>
  </w:style>
  <w:style w:type="character" w:customStyle="1" w:styleId="referentiegegevensleeg">
    <w:name w:val="referentiegegevensleeg"/>
    <w:rPr>
      <w:position w:val="-9"/>
    </w:rPr>
  </w:style>
  <w:style w:type="paragraph" w:customStyle="1" w:styleId="Lijst-alphabet0">
    <w:name w:val="Lijst-alphabet"/>
    <w:basedOn w:val="lijst-alphabet"/>
    <w:next w:val="broodtekst"/>
  </w:style>
  <w:style w:type="paragraph" w:customStyle="1" w:styleId="opsomming-bullet">
    <w:name w:val="opsomming-bullet"/>
    <w:basedOn w:val="broodtekst"/>
    <w:pPr>
      <w:tabs>
        <w:tab w:val="left" w:pos="907"/>
        <w:tab w:val="left" w:pos="1134"/>
        <w:tab w:val="left" w:pos="1361"/>
        <w:tab w:val="left" w:pos="1588"/>
        <w:tab w:val="left" w:pos="1814"/>
        <w:tab w:val="left" w:pos="2041"/>
      </w:tabs>
      <w:ind w:left="227" w:hanging="227"/>
    </w:pPr>
  </w:style>
  <w:style w:type="paragraph" w:customStyle="1" w:styleId="referentiegegevparagraaf">
    <w:name w:val="referentiegegevparagraaf"/>
    <w:basedOn w:val="broodtekst"/>
    <w:pPr>
      <w:spacing w:before="25" w:after="25" w:line="130" w:lineRule="atLeast"/>
    </w:pPr>
    <w:rPr>
      <w:noProof/>
      <w:sz w:val="13"/>
      <w:lang w:eastAsia="en-US"/>
    </w:rPr>
  </w:style>
  <w:style w:type="character" w:customStyle="1" w:styleId="broodtekstChar">
    <w:name w:val="broodtekst Char"/>
    <w:basedOn w:val="Standaardalinea-lettertype"/>
    <w:rPr>
      <w:rFonts w:ascii="Verdana" w:hAnsi="Verdana"/>
      <w:sz w:val="18"/>
      <w:szCs w:val="18"/>
      <w:lang w:val="nl-NL" w:eastAsia="nl-NL" w:bidi="ar-SA"/>
    </w:rPr>
  </w:style>
  <w:style w:type="character" w:customStyle="1" w:styleId="witregel2Char">
    <w:name w:val="witregel2 Char"/>
    <w:basedOn w:val="broodtekstChar"/>
    <w:rPr>
      <w:rFonts w:ascii="Verdana" w:hAnsi="Verdana"/>
      <w:sz w:val="2"/>
      <w:szCs w:val="18"/>
      <w:lang w:val="nl-NL" w:eastAsia="nl-NL" w:bidi="ar-SA"/>
    </w:rPr>
  </w:style>
  <w:style w:type="paragraph" w:customStyle="1" w:styleId="afzendgegevens-italic">
    <w:name w:val="afzendgegevens-italic"/>
    <w:basedOn w:val="afzendgegevens"/>
    <w:rPr>
      <w:i/>
      <w:szCs w:val="13"/>
    </w:rPr>
  </w:style>
  <w:style w:type="character" w:customStyle="1" w:styleId="directieregel">
    <w:name w:val="directieregel"/>
    <w:basedOn w:val="Standaardalinea-lettertype"/>
    <w:rPr>
      <w:rFonts w:ascii="Verdana" w:hAnsi="Verdana"/>
      <w:b/>
      <w:position w:val="-9"/>
      <w:sz w:val="13"/>
    </w:rPr>
  </w:style>
  <w:style w:type="paragraph" w:customStyle="1" w:styleId="broodtekst-bold-italic">
    <w:name w:val="broodtekst-bold-italic"/>
    <w:basedOn w:val="broodtekst"/>
    <w:next w:val="broodtekst"/>
    <w:rPr>
      <w:b/>
      <w:i/>
    </w:rPr>
  </w:style>
  <w:style w:type="paragraph" w:customStyle="1" w:styleId="opsomming-lettersjustitie">
    <w:name w:val="opsomming-letters_justitie"/>
    <w:basedOn w:val="broodtekst"/>
    <w:pPr>
      <w:numPr>
        <w:numId w:val="26"/>
      </w:numPr>
      <w:tabs>
        <w:tab w:val="clear" w:pos="227"/>
        <w:tab w:val="clear" w:pos="680"/>
        <w:tab w:val="left" w:pos="907"/>
        <w:tab w:val="left" w:pos="1361"/>
        <w:tab w:val="left" w:pos="1814"/>
        <w:tab w:val="left" w:pos="2268"/>
        <w:tab w:val="left" w:pos="2722"/>
        <w:tab w:val="left" w:pos="3175"/>
        <w:tab w:val="left" w:pos="3629"/>
        <w:tab w:val="left" w:pos="4082"/>
      </w:tabs>
    </w:pPr>
  </w:style>
  <w:style w:type="paragraph" w:customStyle="1" w:styleId="tabelkop">
    <w:name w:val="tabelkop"/>
    <w:basedOn w:val="broodtekst"/>
    <w:rPr>
      <w:b/>
      <w:sz w:val="14"/>
    </w:rPr>
  </w:style>
  <w:style w:type="paragraph" w:customStyle="1" w:styleId="tabeltekst">
    <w:name w:val="tabeltekst"/>
    <w:basedOn w:val="broodtekst"/>
    <w:rPr>
      <w:sz w:val="14"/>
    </w:rPr>
  </w:style>
  <w:style w:type="paragraph" w:customStyle="1" w:styleId="opsommingsvinkAan">
    <w:name w:val="opsommingsvink_Aan"/>
    <w:basedOn w:val="broodtekst"/>
    <w:pPr>
      <w:widowControl w:val="0"/>
      <w:numPr>
        <w:numId w:val="28"/>
      </w:numPr>
      <w:tabs>
        <w:tab w:val="clear" w:pos="227"/>
        <w:tab w:val="clear" w:pos="680"/>
        <w:tab w:val="left" w:pos="907"/>
        <w:tab w:val="left" w:pos="1361"/>
        <w:tab w:val="left" w:pos="1814"/>
        <w:tab w:val="left" w:pos="2268"/>
        <w:tab w:val="left" w:pos="2722"/>
        <w:tab w:val="left" w:pos="3175"/>
        <w:tab w:val="left" w:pos="3629"/>
        <w:tab w:val="left" w:pos="4082"/>
      </w:tabs>
    </w:pPr>
    <w:rPr>
      <w:szCs w:val="24"/>
    </w:rPr>
  </w:style>
  <w:style w:type="paragraph" w:customStyle="1" w:styleId="opsommingsvinkUit">
    <w:name w:val="opsommingsvink_Uit"/>
    <w:basedOn w:val="broodtekst"/>
    <w:pPr>
      <w:widowControl w:val="0"/>
      <w:numPr>
        <w:numId w:val="29"/>
      </w:numPr>
      <w:tabs>
        <w:tab w:val="clear" w:pos="227"/>
        <w:tab w:val="clear" w:pos="680"/>
        <w:tab w:val="left" w:pos="907"/>
        <w:tab w:val="left" w:pos="1361"/>
        <w:tab w:val="left" w:pos="1814"/>
        <w:tab w:val="left" w:pos="2268"/>
        <w:tab w:val="left" w:pos="2722"/>
        <w:tab w:val="left" w:pos="3175"/>
        <w:tab w:val="left" w:pos="3629"/>
        <w:tab w:val="left" w:pos="4082"/>
      </w:tabs>
    </w:pPr>
    <w:rPr>
      <w:szCs w:val="24"/>
    </w:rPr>
  </w:style>
  <w:style w:type="paragraph" w:styleId="Voetnoottekst">
    <w:name w:val="footnote text"/>
    <w:basedOn w:val="Standaard"/>
    <w:semiHidden/>
    <w:rPr>
      <w:sz w:val="16"/>
      <w:szCs w:val="20"/>
    </w:rPr>
  </w:style>
  <w:style w:type="character" w:styleId="Voetnootmarkering">
    <w:name w:val="footnote reference"/>
    <w:basedOn w:val="Standaardalinea-lettertype"/>
    <w:semiHidden/>
    <w:rPr>
      <w:vertAlign w:val="superscript"/>
    </w:rPr>
  </w:style>
  <w:style w:type="character" w:styleId="Verwijzingopmerking">
    <w:name w:val="annotation reference"/>
    <w:basedOn w:val="Standaardalinea-lettertype"/>
    <w:rsid w:val="008F7046"/>
    <w:rPr>
      <w:sz w:val="16"/>
      <w:szCs w:val="16"/>
    </w:rPr>
  </w:style>
  <w:style w:type="paragraph" w:styleId="Tekstopmerking">
    <w:name w:val="annotation text"/>
    <w:basedOn w:val="Standaard"/>
    <w:link w:val="TekstopmerkingChar"/>
    <w:rsid w:val="008F7046"/>
    <w:pPr>
      <w:spacing w:line="240" w:lineRule="auto"/>
    </w:pPr>
    <w:rPr>
      <w:sz w:val="20"/>
      <w:szCs w:val="20"/>
    </w:rPr>
  </w:style>
  <w:style w:type="character" w:customStyle="1" w:styleId="TekstopmerkingChar">
    <w:name w:val="Tekst opmerking Char"/>
    <w:basedOn w:val="Standaardalinea-lettertype"/>
    <w:link w:val="Tekstopmerking"/>
    <w:rsid w:val="008F7046"/>
    <w:rPr>
      <w:rFonts w:ascii="Verdana" w:hAnsi="Verdana"/>
    </w:rPr>
  </w:style>
  <w:style w:type="paragraph" w:styleId="Onderwerpvanopmerking">
    <w:name w:val="annotation subject"/>
    <w:basedOn w:val="Tekstopmerking"/>
    <w:next w:val="Tekstopmerking"/>
    <w:link w:val="OnderwerpvanopmerkingChar"/>
    <w:rsid w:val="008F7046"/>
    <w:rPr>
      <w:b/>
      <w:bCs/>
    </w:rPr>
  </w:style>
  <w:style w:type="character" w:customStyle="1" w:styleId="OnderwerpvanopmerkingChar">
    <w:name w:val="Onderwerp van opmerking Char"/>
    <w:basedOn w:val="TekstopmerkingChar"/>
    <w:link w:val="Onderwerpvanopmerking"/>
    <w:rsid w:val="008F7046"/>
    <w:rPr>
      <w:rFonts w:ascii="Verdana" w:hAnsi="Verdana"/>
      <w:b/>
      <w:bCs/>
    </w:rPr>
  </w:style>
  <w:style w:type="paragraph" w:styleId="Ballontekst">
    <w:name w:val="Balloon Text"/>
    <w:basedOn w:val="Standaard"/>
    <w:link w:val="BallontekstChar"/>
    <w:rsid w:val="008F7046"/>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8F7046"/>
    <w:rPr>
      <w:rFonts w:ascii="Tahoma" w:hAnsi="Tahoma" w:cs="Tahoma"/>
      <w:sz w:val="16"/>
      <w:szCs w:val="16"/>
    </w:rPr>
  </w:style>
  <w:style w:type="paragraph" w:styleId="Eindnoottekst">
    <w:name w:val="endnote text"/>
    <w:basedOn w:val="Standaard"/>
    <w:link w:val="EindnoottekstChar"/>
    <w:rsid w:val="00445F3E"/>
    <w:pPr>
      <w:spacing w:line="240" w:lineRule="auto"/>
    </w:pPr>
    <w:rPr>
      <w:sz w:val="20"/>
      <w:szCs w:val="20"/>
    </w:rPr>
  </w:style>
  <w:style w:type="character" w:customStyle="1" w:styleId="EindnoottekstChar">
    <w:name w:val="Eindnoottekst Char"/>
    <w:basedOn w:val="Standaardalinea-lettertype"/>
    <w:link w:val="Eindnoottekst"/>
    <w:rsid w:val="00445F3E"/>
    <w:rPr>
      <w:rFonts w:ascii="Verdana" w:hAnsi="Verdana"/>
    </w:rPr>
  </w:style>
  <w:style w:type="character" w:styleId="Eindnootmarkering">
    <w:name w:val="endnote reference"/>
    <w:basedOn w:val="Standaardalinea-lettertype"/>
    <w:rsid w:val="00445F3E"/>
    <w:rPr>
      <w:vertAlign w:val="superscript"/>
    </w:rPr>
  </w:style>
  <w:style w:type="paragraph" w:styleId="Revisie">
    <w:name w:val="Revision"/>
    <w:hidden/>
    <w:uiPriority w:val="99"/>
    <w:semiHidden/>
    <w:rsid w:val="005B0B7F"/>
    <w:rPr>
      <w:rFonts w:ascii="Verdana" w:hAnsi="Verdana"/>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huibert\AppData\Roaming\B-ware\DocSys.Web\profiles\minjus\client\folders\wij_willem-alexander.dot"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5F578C-306F-4A61-AC52-377754497F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wij_willem-alexander</Template>
  <TotalTime>1</TotalTime>
  <Pages>9</Pages>
  <Words>3866</Words>
  <Characters>21056</Characters>
  <Application>Microsoft Office Word</Application>
  <DocSecurity>4</DocSecurity>
  <Lines>175</Lines>
  <Paragraphs>49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Ministerie van Veiligheid en Justitie</Company>
  <LinksUpToDate>false</LinksUpToDate>
  <CharactersWithSpaces>24873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Winden, mr. J.H. van der - BD/DWJZ/SBR</dc:creator>
  <cp:lastModifiedBy>Jap Tjoen San, mw.</cp:lastModifiedBy>
  <cp:revision>2</cp:revision>
  <cp:lastPrinted>2014-05-28T11:30:00Z</cp:lastPrinted>
  <dcterms:created xsi:type="dcterms:W3CDTF">2014-06-03T07:54:00Z</dcterms:created>
  <dcterms:modified xsi:type="dcterms:W3CDTF">2014-06-03T07:54:00Z</dcterms:modified>
  <cp:category>Wij Willem Alexander</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anydoc">
    <vt:lpwstr>companydoc</vt:lpwstr>
  </property>
  <property fmtid="{D5CDD505-2E9C-101B-9397-08002B2CF9AE}" pid="3" name="LogoDenyAt_logogroot">
    <vt:lpwstr>2-</vt:lpwstr>
  </property>
  <property fmtid="{D5CDD505-2E9C-101B-9397-08002B2CF9AE}" pid="4" name="LogoDenyAt_logoklein">
    <vt:lpwstr>0-</vt:lpwstr>
  </property>
  <property fmtid="{D5CDD505-2E9C-101B-9397-08002B2CF9AE}" pid="5" name="taal">
    <vt:lpwstr>taal</vt:lpwstr>
  </property>
  <property fmtid="{D5CDD505-2E9C-101B-9397-08002B2CF9AE}" pid="6" name="savename">
    <vt:lpwstr>savename</vt:lpwstr>
  </property>
  <property fmtid="{D5CDD505-2E9C-101B-9397-08002B2CF9AE}" pid="7" name="afdelingraised">
    <vt:lpwstr> </vt:lpwstr>
  </property>
  <property fmtid="{D5CDD505-2E9C-101B-9397-08002B2CF9AE}" pid="8" name="onskenmerk">
    <vt:lpwstr>onskenmerk</vt:lpwstr>
  </property>
</Properties>
</file>