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3E19" w:rsidRPr="009606A7" w:rsidRDefault="006D3E19" w:rsidP="006D3E19">
      <w:pPr>
        <w:rPr>
          <w:b/>
        </w:rPr>
      </w:pPr>
      <w:r>
        <w:rPr>
          <w:b/>
        </w:rPr>
        <w:t>Voorstel van wet tot wijziging</w:t>
      </w:r>
      <w:r w:rsidRPr="006D3E19">
        <w:rPr>
          <w:b/>
        </w:rPr>
        <w:t xml:space="preserve"> </w:t>
      </w:r>
      <w:r w:rsidRPr="009606A7">
        <w:rPr>
          <w:b/>
        </w:rPr>
        <w:t xml:space="preserve">van de Wet strategische diensten in verband met de uitvoering van het op 2 april 2013 te New York tot stand gekomen </w:t>
      </w:r>
      <w:r>
        <w:rPr>
          <w:b/>
        </w:rPr>
        <w:t>W</w:t>
      </w:r>
      <w:r w:rsidRPr="009606A7">
        <w:rPr>
          <w:b/>
        </w:rPr>
        <w:t xml:space="preserve">apenhandelsverdrag (Trb. </w:t>
      </w:r>
      <w:r>
        <w:rPr>
          <w:b/>
        </w:rPr>
        <w:t>2013, 143</w:t>
      </w:r>
      <w:r w:rsidRPr="009606A7">
        <w:rPr>
          <w:b/>
        </w:rPr>
        <w:t>)</w:t>
      </w:r>
    </w:p>
    <w:p w:rsidR="006D3E19" w:rsidRPr="006D3E19" w:rsidRDefault="006D3E19" w:rsidP="006D3E19">
      <w:pPr>
        <w:rPr>
          <w:b/>
        </w:rPr>
      </w:pPr>
    </w:p>
    <w:p w:rsidR="006D3E19" w:rsidRDefault="006D3E19" w:rsidP="006D3E19"/>
    <w:p w:rsidR="006D3E19" w:rsidRDefault="006D3E19" w:rsidP="006D3E19"/>
    <w:p w:rsidR="0065315A" w:rsidRDefault="0065315A" w:rsidP="006D3E19"/>
    <w:p w:rsidR="0065315A" w:rsidRDefault="0065315A" w:rsidP="006D3E19">
      <w:bookmarkStart w:id="0" w:name="_GoBack"/>
      <w:bookmarkEnd w:id="0"/>
    </w:p>
    <w:p w:rsidR="006D3E19" w:rsidRDefault="006D3E19" w:rsidP="004A2673">
      <w:pPr>
        <w:ind w:firstLine="720"/>
      </w:pPr>
      <w:r>
        <w:t>Wij Willem-Alexander, bij de gratie Gods, Koning der Nederlanden, Prins van Oranje-Nassau, enz. enz. enz.</w:t>
      </w:r>
    </w:p>
    <w:p w:rsidR="006D3E19" w:rsidRDefault="006D3E19" w:rsidP="006D3E19"/>
    <w:p w:rsidR="006D3E19" w:rsidRDefault="006D3E19" w:rsidP="006D3E19">
      <w:r>
        <w:tab/>
        <w:t>Allen, die deze zullen zien of horen lezen, saluut! doen te weten:</w:t>
      </w:r>
    </w:p>
    <w:p w:rsidR="006D3E19" w:rsidRDefault="006D3E19" w:rsidP="006D3E19">
      <w:r>
        <w:tab/>
        <w:t>Alzo Wij in overweging genomen hebben, dat de Wet strategische diensten dient te worden gewijzigd in verband met de uitvoering van het op 2 april 2013 te New York tot stand gekomen Wapenhandelsverdrag (Trb. 2013, 143);</w:t>
      </w:r>
    </w:p>
    <w:p w:rsidR="006D3E19" w:rsidRDefault="006D3E19" w:rsidP="006D3E19"/>
    <w:p w:rsidR="006D3E19" w:rsidRDefault="006D3E19" w:rsidP="006D3E19">
      <w:r>
        <w:tab/>
        <w:t>Zo is het, dat Wij, de Afdeling advisering van de Raad van State gehoord, en met gemeen overleg der Staten-Generaal, hebben goedgevonden en verstaan, gelijk Wij goedvinden en verstaan bij deze:</w:t>
      </w:r>
    </w:p>
    <w:p w:rsidR="006D3E19" w:rsidRDefault="006D3E19" w:rsidP="006D3E19"/>
    <w:p w:rsidR="006D3E19" w:rsidRDefault="006D3E19" w:rsidP="006D3E19"/>
    <w:p w:rsidR="006D3E19" w:rsidRDefault="006D3E19" w:rsidP="006D3E19">
      <w:r>
        <w:t>Artikel I</w:t>
      </w:r>
    </w:p>
    <w:p w:rsidR="006D3E19" w:rsidRDefault="006D3E19" w:rsidP="006D3E19"/>
    <w:p w:rsidR="006D3E19" w:rsidRDefault="006D3E19" w:rsidP="004A2673">
      <w:r>
        <w:t>De Wet strategische diensten wordt gewijzigd als volgt:</w:t>
      </w:r>
    </w:p>
    <w:p w:rsidR="006D3E19" w:rsidRDefault="006D3E19" w:rsidP="006D3E19"/>
    <w:p w:rsidR="006D3E19" w:rsidRDefault="006D3E19" w:rsidP="006D3E19">
      <w:r>
        <w:t>A</w:t>
      </w:r>
    </w:p>
    <w:p w:rsidR="006D3E19" w:rsidRDefault="006D3E19" w:rsidP="006D3E19"/>
    <w:p w:rsidR="004A2673" w:rsidRDefault="006D3E19" w:rsidP="004A2673">
      <w:r>
        <w:t>Artikel 14 wordt gewijzigd als volgt:</w:t>
      </w:r>
    </w:p>
    <w:p w:rsidR="004A2673" w:rsidRDefault="004A2673" w:rsidP="004A2673"/>
    <w:p w:rsidR="004A2673" w:rsidRDefault="006D3E19" w:rsidP="004A2673">
      <w:pPr>
        <w:pStyle w:val="Lijstalinea"/>
        <w:numPr>
          <w:ilvl w:val="0"/>
          <w:numId w:val="3"/>
        </w:numPr>
        <w:ind w:left="225"/>
      </w:pPr>
      <w:r>
        <w:t>Het vierde lid komt te luiden:</w:t>
      </w:r>
    </w:p>
    <w:p w:rsidR="006D3E19" w:rsidRDefault="004A2673" w:rsidP="004A2673">
      <w:pPr>
        <w:ind w:left="-135"/>
      </w:pPr>
      <w:r>
        <w:t>4</w:t>
      </w:r>
      <w:r w:rsidR="006D3E19">
        <w:t>. De vergunning kan ook worden geweigerd, dan wel ingetrokken in het geval en onder de voorwaarden, bedoeld in artikel 3 van de Wet bevordering integriteitsbeoordelingen door het openbaar bestuur. Voordat toepassing wordt gegeven aan de vorige volzin, kan het Bureau bevordering integriteitsbeoordelingen door het openbaar bestuur, bedoeld in artikel 8 van de</w:t>
      </w:r>
      <w:r w:rsidR="006D3E19" w:rsidRPr="00CB2AE6">
        <w:t xml:space="preserve"> </w:t>
      </w:r>
      <w:r w:rsidR="006D3E19">
        <w:t xml:space="preserve">Wet bevordering integriteitsbeoordelingen door het openbaar bestuur, om een advies als bedoeld in artikel 9 van die wet worden gevraagd. </w:t>
      </w:r>
    </w:p>
    <w:p w:rsidR="006D3E19" w:rsidRDefault="006D3E19" w:rsidP="006D3E19"/>
    <w:p w:rsidR="006D3E19" w:rsidRDefault="004A2673" w:rsidP="004A2673">
      <w:r>
        <w:t xml:space="preserve">2. </w:t>
      </w:r>
      <w:r w:rsidR="006D3E19">
        <w:t xml:space="preserve">Het vijfde lid komt te luiden: </w:t>
      </w:r>
    </w:p>
    <w:p w:rsidR="006D3E19" w:rsidRDefault="004A2673" w:rsidP="006D3E19">
      <w:r>
        <w:t xml:space="preserve">5. </w:t>
      </w:r>
      <w:r w:rsidR="006D3E19">
        <w:t xml:space="preserve">Een vergunning als bedoeld in de artikelen 8, en 10, eerste lid, kan in ieder geval worden </w:t>
      </w:r>
      <w:r>
        <w:t>g</w:t>
      </w:r>
      <w:r w:rsidR="006D3E19">
        <w:t>eweigerd</w:t>
      </w:r>
      <w:r>
        <w:t xml:space="preserve"> </w:t>
      </w:r>
      <w:r w:rsidR="006D3E19">
        <w:t>voor zover dit voortvloeit uit internationale verplichtingen.</w:t>
      </w:r>
    </w:p>
    <w:p w:rsidR="006D3E19" w:rsidRDefault="006D3E19" w:rsidP="006D3E19"/>
    <w:p w:rsidR="006D3E19" w:rsidRDefault="006D3E19" w:rsidP="006D3E19">
      <w:r>
        <w:t>B</w:t>
      </w:r>
    </w:p>
    <w:p w:rsidR="006D3E19" w:rsidRDefault="006D3E19" w:rsidP="006D3E19"/>
    <w:p w:rsidR="006D3E19" w:rsidRDefault="006D3E19" w:rsidP="006D3E19">
      <w:pPr>
        <w:ind w:firstLine="227"/>
      </w:pPr>
      <w:r>
        <w:t xml:space="preserve">Aan artikel 25 wordt een lid toegevoegd, dat luidt: </w:t>
      </w:r>
    </w:p>
    <w:p w:rsidR="006D3E19" w:rsidRDefault="006D3E19" w:rsidP="006D3E19">
      <w:r>
        <w:t xml:space="preserve">  </w:t>
      </w:r>
    </w:p>
    <w:p w:rsidR="006D3E19" w:rsidRDefault="003A29A0" w:rsidP="006D3E19">
      <w:r>
        <w:t xml:space="preserve">3. </w:t>
      </w:r>
      <w:r w:rsidR="006D3E19">
        <w:t xml:space="preserve">Een vergunning als bedoeld in artikel 24, eerste en derde lid, kan in ieder geval worden geweigerd voor zover dit voortvloeit uit internationale verplichtingen. </w:t>
      </w:r>
    </w:p>
    <w:p w:rsidR="006D3E19" w:rsidRDefault="006D3E19" w:rsidP="006D3E19"/>
    <w:p w:rsidR="003A29A0" w:rsidRDefault="003A29A0" w:rsidP="006D3E19"/>
    <w:p w:rsidR="006D3E19" w:rsidRDefault="006D3E19" w:rsidP="006D3E19">
      <w:r>
        <w:t>Artikel II</w:t>
      </w:r>
    </w:p>
    <w:p w:rsidR="006D3E19" w:rsidRDefault="006D3E19" w:rsidP="006D3E19"/>
    <w:p w:rsidR="006D3E19" w:rsidRDefault="006D3E19" w:rsidP="006D3E19"/>
    <w:p w:rsidR="006D3E19" w:rsidRDefault="003A29A0" w:rsidP="003A29A0">
      <w:r>
        <w:t xml:space="preserve">   </w:t>
      </w:r>
      <w:r w:rsidR="006D3E19">
        <w:t>Deze wet treedt in werking op een bij koninklijk besluit te bepalen tijdstip.</w:t>
      </w:r>
    </w:p>
    <w:p w:rsidR="006D3E19" w:rsidRDefault="006D3E19" w:rsidP="006D3E19"/>
    <w:p w:rsidR="006D3E19" w:rsidRDefault="006D3E19" w:rsidP="006D3E19">
      <w:r>
        <w:lastRenderedPageBreak/>
        <w:t xml:space="preserve">Lasten en bevelen dat deze in het Staatsblad zal worden geplaatst en dat alle ministeries, autoriteiten, colleges en ambtenaren wie zulks aangaat, aan de nauwkeurige uitvoering de hand zullen houden. </w:t>
      </w:r>
    </w:p>
    <w:p w:rsidR="006D3E19" w:rsidRDefault="006D3E19" w:rsidP="006D3E19"/>
    <w:p w:rsidR="006D3E19" w:rsidRDefault="006D3E19" w:rsidP="006D3E19"/>
    <w:p w:rsidR="006D3E19" w:rsidRDefault="006D3E19" w:rsidP="006D3E19"/>
    <w:p w:rsidR="006D3E19" w:rsidRDefault="006D3E19" w:rsidP="006D3E19"/>
    <w:p w:rsidR="006D3E19" w:rsidRDefault="006D3E19" w:rsidP="006D3E19">
      <w:r>
        <w:t xml:space="preserve">Gegeven te  </w:t>
      </w:r>
    </w:p>
    <w:p w:rsidR="006D3E19" w:rsidRDefault="006D3E19" w:rsidP="006D3E19"/>
    <w:p w:rsidR="006D3E19" w:rsidRDefault="006D3E19" w:rsidP="006D3E19"/>
    <w:p w:rsidR="006D3E19" w:rsidRDefault="006D3E19" w:rsidP="006D3E19"/>
    <w:p w:rsidR="006D3E19" w:rsidRDefault="006D3E19" w:rsidP="006D3E19">
      <w:r>
        <w:t>De Minister voor Buitenlandse Handel en Ontwikkelingssamenwerking,</w:t>
      </w:r>
    </w:p>
    <w:p w:rsidR="006D3E19" w:rsidRDefault="006D3E19" w:rsidP="006D3E19"/>
    <w:p w:rsidR="006D3E19" w:rsidRDefault="006D3E19" w:rsidP="006D3E19"/>
    <w:p w:rsidR="006D3E19" w:rsidRDefault="006D3E19" w:rsidP="006D3E19">
      <w:pPr>
        <w:spacing w:line="240" w:lineRule="auto"/>
      </w:pPr>
      <w:r>
        <w:br w:type="page"/>
      </w:r>
    </w:p>
    <w:p w:rsidR="006D3E19" w:rsidRPr="009606A7" w:rsidRDefault="007F5DE2" w:rsidP="006D3E19">
      <w:pPr>
        <w:rPr>
          <w:b/>
        </w:rPr>
      </w:pPr>
      <w:r>
        <w:rPr>
          <w:b/>
        </w:rPr>
        <w:lastRenderedPageBreak/>
        <w:t xml:space="preserve">Voorstel van </w:t>
      </w:r>
      <w:r w:rsidR="006D3E19" w:rsidRPr="009606A7">
        <w:rPr>
          <w:b/>
        </w:rPr>
        <w:t xml:space="preserve">Wet tot wijziging van de Wet strategische diensten in verband met de uitvoering van het op 2 april 2013 te New York tot stand gekomen </w:t>
      </w:r>
      <w:r w:rsidR="006D3E19">
        <w:rPr>
          <w:b/>
        </w:rPr>
        <w:t>W</w:t>
      </w:r>
      <w:r w:rsidR="006D3E19" w:rsidRPr="009606A7">
        <w:rPr>
          <w:b/>
        </w:rPr>
        <w:t xml:space="preserve">apenhandelsverdrag (Trb. </w:t>
      </w:r>
      <w:r w:rsidR="006D3E19">
        <w:rPr>
          <w:b/>
        </w:rPr>
        <w:t>2013, 143</w:t>
      </w:r>
      <w:r w:rsidR="006D3E19" w:rsidRPr="009606A7">
        <w:rPr>
          <w:b/>
        </w:rPr>
        <w:t>)</w:t>
      </w:r>
    </w:p>
    <w:p w:rsidR="006D3E19" w:rsidRDefault="006D3E19" w:rsidP="006D3E19"/>
    <w:p w:rsidR="006D3E19" w:rsidRPr="009606A7" w:rsidRDefault="006D3E19" w:rsidP="006D3E19">
      <w:pPr>
        <w:rPr>
          <w:b/>
        </w:rPr>
      </w:pPr>
      <w:r w:rsidRPr="009606A7">
        <w:rPr>
          <w:b/>
        </w:rPr>
        <w:t>Memorie van Toelichting</w:t>
      </w:r>
    </w:p>
    <w:p w:rsidR="006D3E19" w:rsidRDefault="006D3E19" w:rsidP="006D3E19"/>
    <w:p w:rsidR="006D3E19" w:rsidRPr="002F2986" w:rsidRDefault="0061258F" w:rsidP="0061258F">
      <w:r>
        <w:rPr>
          <w:i/>
        </w:rPr>
        <w:t xml:space="preserve">I. </w:t>
      </w:r>
      <w:r w:rsidR="006D3E19" w:rsidRPr="0061258F">
        <w:rPr>
          <w:i/>
        </w:rPr>
        <w:t>Algemeen</w:t>
      </w:r>
    </w:p>
    <w:p w:rsidR="006D3E19" w:rsidRDefault="006D3E19" w:rsidP="006D3E19"/>
    <w:p w:rsidR="006D3E19" w:rsidRDefault="006D3E19" w:rsidP="006D3E19">
      <w:r>
        <w:t>Het Verdrag</w:t>
      </w:r>
    </w:p>
    <w:p w:rsidR="006D3E19" w:rsidRDefault="006D3E19" w:rsidP="006D3E19"/>
    <w:p w:rsidR="006D3E19" w:rsidRDefault="006D3E19" w:rsidP="006D3E19">
      <w:r>
        <w:t xml:space="preserve">Het Wapenhandelsverdrag (Arms Trade Treaty, hierna: het Verdrag) reguleert de legitieme handel in militaire goederen. Regulering van de wapenhandel draagt bij aan het voorkomen van onverantwoorde wapentransacties en van doorvoer van wapens naar de illegale markt. Hiermee levert het verdrag een belangrijke bijdrage aan de internationale veiligheid en stabiliteit. Essentieel is dat het Verdrag de verdragspartijen verplicht een wapenexportsysteem te </w:t>
      </w:r>
      <w:r w:rsidR="00644350">
        <w:t>hanteren</w:t>
      </w:r>
      <w:r>
        <w:t>. Deze exportcontrole op conventionele wapens zal moeten leiden tot verantwoorde nationale beslissingen omtrent uitvoer van militaire goederen die onder de reikwijdte van het verdrag vallen. Op 3 juni 2013 werd het verdrag in New York opengesteld voor ondertekening. Nederland behoorde op die dag tot de eerste ondertekenaars.</w:t>
      </w:r>
    </w:p>
    <w:p w:rsidR="006D3E19" w:rsidRDefault="006D3E19" w:rsidP="006D3E19"/>
    <w:p w:rsidR="006D3E19" w:rsidRDefault="006D3E19" w:rsidP="006D3E19">
      <w:r>
        <w:t xml:space="preserve">Het Verdrag bevordert de internationale veiligheid en stabiliteit, onder meer door de verdragspartijen te verplichten gepaste maatregelen te nemen om de uitvoer, invoer, doorvoer en tussenhandel van militaire goederen te reguleren. Het verdrag noemt daarnaast in </w:t>
      </w:r>
      <w:r w:rsidR="0061258F">
        <w:t xml:space="preserve">de </w:t>
      </w:r>
      <w:r>
        <w:t>artikel</w:t>
      </w:r>
      <w:r w:rsidR="0061258F">
        <w:t>en</w:t>
      </w:r>
      <w:r>
        <w:t xml:space="preserve"> 6 en 7 verschillende weigeringsgronden en overwegingen die moeten worden meegenomen bij de beoordeling van transacties inzake militaire goederen. De weigeringsgronden van artikel 6 betreffen strijd met VN wapenembargo’s, strijd met internationale verplichtingen in verband met illegale wapenhandel en </w:t>
      </w:r>
      <w:r w:rsidR="0061258F">
        <w:t xml:space="preserve">de </w:t>
      </w:r>
      <w:r>
        <w:t xml:space="preserve">wetenschap dat de goederen </w:t>
      </w:r>
      <w:r w:rsidR="0061258F">
        <w:t>zullen</w:t>
      </w:r>
      <w:r>
        <w:t xml:space="preserve"> worden ingezet</w:t>
      </w:r>
      <w:r w:rsidR="006E6886">
        <w:t xml:space="preserve"> </w:t>
      </w:r>
      <w:r w:rsidR="006E6886" w:rsidRPr="006E6886">
        <w:t>voor het plegen van internationale misdrijven, zoals genocide, misdaden tegen de menselijkheid en oorlogsmisdaden</w:t>
      </w:r>
      <w:r>
        <w:t xml:space="preserve">. De overwegingen die volgens artikel 7 betrokken moeten worden bij vergunningverlening voor export betreffen onder meer de gevolgen voor vrede en veiligheid, het risico </w:t>
      </w:r>
      <w:r w:rsidRPr="00A51A1B">
        <w:t>dat de goederen worden ingezet bij mensenrechtenschendingen, terrorisme</w:t>
      </w:r>
      <w:r>
        <w:t>,</w:t>
      </w:r>
      <w:r w:rsidRPr="00A51A1B">
        <w:t xml:space="preserve"> </w:t>
      </w:r>
      <w:r>
        <w:t xml:space="preserve">georganiseerde misdaad, geweld tegen vrouwen en kinderen enzovoort. </w:t>
      </w:r>
    </w:p>
    <w:p w:rsidR="006D3E19" w:rsidRDefault="006D3E19" w:rsidP="006D3E19"/>
    <w:p w:rsidR="006D3E19" w:rsidRDefault="006D3E19" w:rsidP="006D3E19">
      <w:r>
        <w:t xml:space="preserve">Implementatie </w:t>
      </w:r>
    </w:p>
    <w:p w:rsidR="006D3E19" w:rsidRDefault="006D3E19" w:rsidP="006D3E19"/>
    <w:p w:rsidR="006D3E19" w:rsidRDefault="006D3E19" w:rsidP="006D3E19">
      <w:pPr>
        <w:rPr>
          <w:rFonts w:eastAsiaTheme="minorHAnsi" w:cs="EUAlbertina_Bold"/>
          <w:bCs/>
          <w:szCs w:val="18"/>
          <w:lang w:eastAsia="en-US"/>
        </w:rPr>
      </w:pPr>
      <w:r>
        <w:t xml:space="preserve">Voor zowel het Europees als Caribisch Nederland betekent het verdrag geen grote wijziging ten opzichte van de bestaande regelgeving en praktijk. De bestaande regelgeving omvat reeds regulering van invoer-, uitvoer en doorvoer van, onder meer, de conventionele wapens waarop het Verdrag ziet. Ook de in de artikelen 6 en 7 van het Verdrag opgenomen criteria en overwegingen zijn reeds in meer of mindere mate expliciet, opgenomen in het EU Gemeenschappelijk </w:t>
      </w:r>
      <w:r w:rsidRPr="005420C5">
        <w:rPr>
          <w:szCs w:val="18"/>
        </w:rPr>
        <w:t xml:space="preserve">Standpunt </w:t>
      </w:r>
      <w:r w:rsidRPr="005420C5">
        <w:rPr>
          <w:rFonts w:eastAsiaTheme="minorHAnsi" w:cs="EUAlbertina_Bold"/>
          <w:bCs/>
          <w:szCs w:val="18"/>
          <w:lang w:eastAsia="en-US"/>
        </w:rPr>
        <w:t>2008/944/GBVB</w:t>
      </w:r>
      <w:r>
        <w:rPr>
          <w:rFonts w:eastAsiaTheme="minorHAnsi" w:cs="EUAlbertina_Bold"/>
          <w:bCs/>
          <w:szCs w:val="18"/>
          <w:lang w:eastAsia="en-US"/>
        </w:rPr>
        <w:t xml:space="preserve"> van de Raad  tot vaststelling van gemeenschappelijke voorschriften voor de controle op de uitvoer van militaire goederen en technologie (Pb EU L 335/99). Militaire transacties worden in de praktijk steeds getoetst aan de criteria van dit Gemeenschappelijk Standpunt. </w:t>
      </w:r>
      <w:r w:rsidR="00136E50">
        <w:rPr>
          <w:rFonts w:eastAsiaTheme="minorHAnsi" w:cs="EUAlbertina_Bold"/>
          <w:bCs/>
          <w:szCs w:val="18"/>
          <w:lang w:eastAsia="en-US"/>
        </w:rPr>
        <w:t xml:space="preserve">Dit geldt </w:t>
      </w:r>
      <w:r w:rsidR="00136E50" w:rsidRPr="00136E50">
        <w:rPr>
          <w:rFonts w:eastAsiaTheme="minorHAnsi" w:cs="EUAlbertina_Bold"/>
          <w:bCs/>
          <w:szCs w:val="18"/>
          <w:lang w:eastAsia="en-US"/>
        </w:rPr>
        <w:t>zowel voor het Europese deel van Nederland als voor Bonaire, Sint Eustatius en Saba</w:t>
      </w:r>
      <w:r w:rsidR="00136E50">
        <w:rPr>
          <w:rFonts w:eastAsiaTheme="minorHAnsi" w:cs="EUAlbertina_Bold"/>
          <w:bCs/>
          <w:szCs w:val="18"/>
          <w:lang w:eastAsia="en-US"/>
        </w:rPr>
        <w:t>. De vergunningaanvragen worden in de praktijk voor beide delen van Nederland (voor Caribisch Nederland via een frontoffice aldaar)</w:t>
      </w:r>
      <w:r w:rsidR="00136E50" w:rsidRPr="00136E50">
        <w:rPr>
          <w:rFonts w:eastAsiaTheme="minorHAnsi" w:cs="EUAlbertina_Bold"/>
          <w:bCs/>
          <w:szCs w:val="18"/>
          <w:lang w:eastAsia="en-US"/>
        </w:rPr>
        <w:t xml:space="preserve"> </w:t>
      </w:r>
      <w:r w:rsidR="00136E50">
        <w:rPr>
          <w:rFonts w:eastAsiaTheme="minorHAnsi" w:cs="EUAlbertina_Bold"/>
          <w:bCs/>
          <w:szCs w:val="18"/>
          <w:lang w:eastAsia="en-US"/>
        </w:rPr>
        <w:t xml:space="preserve">afgehandeld door </w:t>
      </w:r>
      <w:r w:rsidR="003F5B14">
        <w:rPr>
          <w:rFonts w:eastAsiaTheme="minorHAnsi" w:cs="EUAlbertina_Bold"/>
          <w:bCs/>
          <w:szCs w:val="18"/>
          <w:lang w:eastAsia="en-US"/>
        </w:rPr>
        <w:t xml:space="preserve">de Centrale Dienst voor In- en Uitvoer in Groningen. De toetsingscriteria zijn dezelfde. </w:t>
      </w:r>
      <w:r>
        <w:rPr>
          <w:rFonts w:eastAsiaTheme="minorHAnsi" w:cs="EUAlbertina_Bold"/>
          <w:bCs/>
          <w:szCs w:val="18"/>
          <w:lang w:eastAsia="en-US"/>
        </w:rPr>
        <w:t xml:space="preserve">Toetsing aan deze criteria is niet uitdrukkelijk vastgelegd in nationale wet- of regelgeving, maar blijkt wel uit de jurisprudentie. </w:t>
      </w:r>
    </w:p>
    <w:p w:rsidR="006D3E19" w:rsidRDefault="006D3E19" w:rsidP="006D3E19">
      <w:pPr>
        <w:rPr>
          <w:rFonts w:eastAsiaTheme="minorHAnsi" w:cs="EUAlbertina_Bold"/>
          <w:bCs/>
          <w:szCs w:val="18"/>
          <w:lang w:eastAsia="en-US"/>
        </w:rPr>
      </w:pPr>
    </w:p>
    <w:p w:rsidR="006D3E19" w:rsidRDefault="006D3E19" w:rsidP="006D3E19">
      <w:r>
        <w:rPr>
          <w:rFonts w:eastAsiaTheme="minorHAnsi" w:cs="EUAlbertina_Bold"/>
          <w:bCs/>
          <w:szCs w:val="18"/>
          <w:lang w:eastAsia="en-US"/>
        </w:rPr>
        <w:t>Ter verhoging van de transparantie en om buiten twijfel te stellen dat genoemde verdragsbepalingen te allen tijde kunnen worden uitgevoerd, wordt nu uitdrukkelijk in de wet opgenomen, dat een vergunning</w:t>
      </w:r>
      <w:r w:rsidRPr="002416BC">
        <w:t xml:space="preserve"> </w:t>
      </w:r>
      <w:r>
        <w:t>voor tussenhandeldiensten militaire goederen en voor de immateriële overdracht van militaire goederen door middel van elektronische media,</w:t>
      </w:r>
      <w:r>
        <w:rPr>
          <w:rFonts w:eastAsiaTheme="minorHAnsi" w:cs="EUAlbertina_Bold"/>
          <w:bCs/>
          <w:szCs w:val="18"/>
          <w:lang w:eastAsia="en-US"/>
        </w:rPr>
        <w:t xml:space="preserve"> zowel voor het Europese deel van Nederland als voor Bonaire, Sint Eustatius en Saba, kan worden geweigerd indien anders in strijd wordt gekomen </w:t>
      </w:r>
      <w:r>
        <w:rPr>
          <w:rFonts w:eastAsiaTheme="minorHAnsi" w:cs="EUAlbertina_Bold"/>
          <w:bCs/>
          <w:szCs w:val="18"/>
          <w:lang w:eastAsia="en-US"/>
        </w:rPr>
        <w:lastRenderedPageBreak/>
        <w:t>met internationale verplichtingen. Hiermee zijn de criteria van het verdrag alsmede (mogelijk toekomstige) andere internationale verplichtingen op dit gebied toetsingscriteria in het kader van de wet geworden</w:t>
      </w:r>
      <w:r>
        <w:t xml:space="preserve">. </w:t>
      </w:r>
    </w:p>
    <w:p w:rsidR="006D3E19" w:rsidRDefault="006D3E19" w:rsidP="006D3E19">
      <w:r>
        <w:t>Vergelijkbare wijzigingen zullen worden opgenomen in het Besluit strategische goederen en het Uitvoeringsbesluit Douane- en Accijnswet BES, die (mede) zien op de (fysieke) doorvoer en uitvoer van wapens.</w:t>
      </w:r>
    </w:p>
    <w:p w:rsidR="006D3E19" w:rsidRDefault="006D3E19" w:rsidP="006D3E19"/>
    <w:p w:rsidR="006D3E19" w:rsidRDefault="006D3E19" w:rsidP="006D3E19">
      <w:r>
        <w:t>Administratieve lasten en IAK</w:t>
      </w:r>
    </w:p>
    <w:p w:rsidR="006D3E19" w:rsidRDefault="006D3E19" w:rsidP="006D3E19"/>
    <w:p w:rsidR="006D3E19" w:rsidRDefault="006D3E19" w:rsidP="006D3E19">
      <w:r>
        <w:t>De voorliggende wijzigingen hebben geen gevolgen voor de administratieve lasten. Zij omvatten uitsluitend het uitdrukkelijk vastleggen van een grond voor het weigeren van vergunning</w:t>
      </w:r>
      <w:r w:rsidR="002B7FE9">
        <w:t>, maar hebben, zoals hierboven toegelicht, geen gevolgen voor de bestaande praktijk.</w:t>
      </w:r>
    </w:p>
    <w:p w:rsidR="006D3E19" w:rsidRDefault="006D3E19" w:rsidP="006D3E19">
      <w:r>
        <w:t>Met de in het voorafgaande opgenomen toelichting op aanleiding, inhoud en gevolg van dit voorstel van wet is voldaan aan het Integraal Afwegingskader beleid en regelgeving.</w:t>
      </w:r>
    </w:p>
    <w:p w:rsidR="006D3E19" w:rsidRDefault="006D3E19" w:rsidP="006D3E19"/>
    <w:p w:rsidR="006D3E19" w:rsidRDefault="006D3E19" w:rsidP="006D3E19">
      <w:pPr>
        <w:rPr>
          <w:i/>
        </w:rPr>
      </w:pPr>
      <w:r>
        <w:rPr>
          <w:i/>
        </w:rPr>
        <w:t>II Artikelsgewijs</w:t>
      </w:r>
    </w:p>
    <w:p w:rsidR="006D3E19" w:rsidRDefault="006D3E19" w:rsidP="006D3E19">
      <w:pPr>
        <w:rPr>
          <w:i/>
        </w:rPr>
      </w:pPr>
    </w:p>
    <w:p w:rsidR="006D3E19" w:rsidRDefault="006D3E19" w:rsidP="006D3E19">
      <w:r>
        <w:t>Artikel I</w:t>
      </w:r>
    </w:p>
    <w:p w:rsidR="006D3E19" w:rsidRDefault="006D3E19" w:rsidP="006D3E19"/>
    <w:p w:rsidR="006D3E19" w:rsidRDefault="006D3E19" w:rsidP="006D3E19">
      <w:r>
        <w:t>A</w:t>
      </w:r>
    </w:p>
    <w:p w:rsidR="006D3E19" w:rsidRDefault="006D3E19" w:rsidP="006D3E19"/>
    <w:p w:rsidR="006D3E19" w:rsidRDefault="006D3E19" w:rsidP="006D3E19">
      <w:r>
        <w:t>1.</w:t>
      </w:r>
      <w:r w:rsidR="00453C7D" w:rsidRPr="00453C7D">
        <w:t xml:space="preserve"> </w:t>
      </w:r>
      <w:r w:rsidR="00453C7D">
        <w:t>Onderdeel 1 is puur technisch en voegt de bestaande, inhoudelijk sterk samenhangende, leden 4 en 5 van artikel 14 van de Wet strategische diensten samen tot één artikellid, zodat met de invoeging van het nieuwe vijfde lid (artikel I, onderdeel A, onder 2) een logischer volgorde ontstaat. Door deze aanpassing bevatten zowel het vierde lid als het nieuwe vijfde lid een weigeringsgrond. Waren het oude vierde en vijfde lid niet samengevoegd, dan had tussen twee weigeringsgronden een procedurele bepaling gestaan.</w:t>
      </w:r>
    </w:p>
    <w:p w:rsidR="006D3E19" w:rsidRDefault="006D3E19" w:rsidP="006D3E19">
      <w:r>
        <w:t xml:space="preserve">2. Artikel 14 van de Wet strategische diensten bevat bepalingen omtrent vergunningverlening op grond van deze wet op het terrein van alle strategische diensten ten behoeve van het Europese deel van Nederland. Deze bepaling ziet op vergunningverlening op het terrein van diensten aangaande zowel militaire goederen als dual use goederen. Het Verdrag ziet echter uitsluitend op militaire goederen en deze wijzigingswet beperkt zich tot implementatie van het Verdrag. Om deze reden wordt uitsluitend met betrekking tot vergunningverlening ten aanzien van militaire goederen (artikel 8 inzake overdracht militaire programmatuur of militaire technologie en artikel 10 inzake tussenhandeldiensten militaire goederen) uitdrukkelijk in de wet, in het nieuwe vijfde lid van artikel 14, opgenomen dat een vergunning kan worden geweigerd voor zover dat voortvloeit uit internationale verplichtingen. Hiermee wordt zeker gesteld dat te allen tijde kan worden voldaan aan de verplichtingen van onder meer het Verdrag (en eventuele andere, huidige en toekomstige internationale verplichtingen op het terrein van militaire goederen). </w:t>
      </w:r>
    </w:p>
    <w:p w:rsidR="006D3E19" w:rsidRDefault="006D3E19" w:rsidP="006D3E19">
      <w:pPr>
        <w:ind w:left="225"/>
      </w:pPr>
    </w:p>
    <w:p w:rsidR="006D3E19" w:rsidRPr="00FA09B2" w:rsidRDefault="006D3E19" w:rsidP="006D3E19">
      <w:r>
        <w:t>B</w:t>
      </w:r>
    </w:p>
    <w:p w:rsidR="006D3E19" w:rsidRDefault="006D3E19" w:rsidP="006D3E19"/>
    <w:p w:rsidR="006D3E19" w:rsidRDefault="006D3E19" w:rsidP="006D3E19">
      <w:r>
        <w:t>De wijziging van artikel 25 van de Wet strategische diensten bevat een vergelijkbare wijziging als die van artikel 14 in verband met vergunningenverlening voor strategische diensten op Bonaire, Sint Eustatius en Saba.</w:t>
      </w:r>
    </w:p>
    <w:p w:rsidR="006D3E19" w:rsidRDefault="006D3E19" w:rsidP="006D3E19"/>
    <w:p w:rsidR="006D3E19" w:rsidRDefault="006D3E19" w:rsidP="006D3E19"/>
    <w:p w:rsidR="006D3E19" w:rsidRDefault="006D3E19" w:rsidP="006D3E19"/>
    <w:p w:rsidR="006D3E19" w:rsidRDefault="006D3E19" w:rsidP="006D3E19"/>
    <w:p w:rsidR="00D309B7" w:rsidRDefault="006D3E19">
      <w:r>
        <w:t>De Minister voor Buitenlandse Handel en Ontwikkelingssamenwerking</w:t>
      </w:r>
      <w:proofErr w:type="gramStart"/>
      <w:r>
        <w:t>,</w:t>
      </w:r>
      <w:proofErr w:type="gramEnd"/>
    </w:p>
    <w:sectPr w:rsidR="00D309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EUAlbertina_Bold">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4114E3"/>
    <w:multiLevelType w:val="hybridMultilevel"/>
    <w:tmpl w:val="0CEAE804"/>
    <w:lvl w:ilvl="0" w:tplc="F9B8BF0E">
      <w:start w:val="1"/>
      <w:numFmt w:val="decimal"/>
      <w:lvlText w:val="%1."/>
      <w:lvlJc w:val="left"/>
      <w:pPr>
        <w:ind w:left="585" w:hanging="360"/>
      </w:pPr>
      <w:rPr>
        <w:rFonts w:hint="default"/>
      </w:rPr>
    </w:lvl>
    <w:lvl w:ilvl="1" w:tplc="04130019" w:tentative="1">
      <w:start w:val="1"/>
      <w:numFmt w:val="lowerLetter"/>
      <w:lvlText w:val="%2."/>
      <w:lvlJc w:val="left"/>
      <w:pPr>
        <w:ind w:left="1305" w:hanging="360"/>
      </w:pPr>
    </w:lvl>
    <w:lvl w:ilvl="2" w:tplc="0413001B" w:tentative="1">
      <w:start w:val="1"/>
      <w:numFmt w:val="lowerRoman"/>
      <w:lvlText w:val="%3."/>
      <w:lvlJc w:val="right"/>
      <w:pPr>
        <w:ind w:left="2025" w:hanging="180"/>
      </w:pPr>
    </w:lvl>
    <w:lvl w:ilvl="3" w:tplc="0413000F" w:tentative="1">
      <w:start w:val="1"/>
      <w:numFmt w:val="decimal"/>
      <w:lvlText w:val="%4."/>
      <w:lvlJc w:val="left"/>
      <w:pPr>
        <w:ind w:left="2745" w:hanging="360"/>
      </w:pPr>
    </w:lvl>
    <w:lvl w:ilvl="4" w:tplc="04130019" w:tentative="1">
      <w:start w:val="1"/>
      <w:numFmt w:val="lowerLetter"/>
      <w:lvlText w:val="%5."/>
      <w:lvlJc w:val="left"/>
      <w:pPr>
        <w:ind w:left="3465" w:hanging="360"/>
      </w:pPr>
    </w:lvl>
    <w:lvl w:ilvl="5" w:tplc="0413001B" w:tentative="1">
      <w:start w:val="1"/>
      <w:numFmt w:val="lowerRoman"/>
      <w:lvlText w:val="%6."/>
      <w:lvlJc w:val="right"/>
      <w:pPr>
        <w:ind w:left="4185" w:hanging="180"/>
      </w:pPr>
    </w:lvl>
    <w:lvl w:ilvl="6" w:tplc="0413000F" w:tentative="1">
      <w:start w:val="1"/>
      <w:numFmt w:val="decimal"/>
      <w:lvlText w:val="%7."/>
      <w:lvlJc w:val="left"/>
      <w:pPr>
        <w:ind w:left="4905" w:hanging="360"/>
      </w:pPr>
    </w:lvl>
    <w:lvl w:ilvl="7" w:tplc="04130019" w:tentative="1">
      <w:start w:val="1"/>
      <w:numFmt w:val="lowerLetter"/>
      <w:lvlText w:val="%8."/>
      <w:lvlJc w:val="left"/>
      <w:pPr>
        <w:ind w:left="5625" w:hanging="360"/>
      </w:pPr>
    </w:lvl>
    <w:lvl w:ilvl="8" w:tplc="0413001B" w:tentative="1">
      <w:start w:val="1"/>
      <w:numFmt w:val="lowerRoman"/>
      <w:lvlText w:val="%9."/>
      <w:lvlJc w:val="right"/>
      <w:pPr>
        <w:ind w:left="6345" w:hanging="180"/>
      </w:pPr>
    </w:lvl>
  </w:abstractNum>
  <w:abstractNum w:abstractNumId="1">
    <w:nsid w:val="425911A9"/>
    <w:multiLevelType w:val="hybridMultilevel"/>
    <w:tmpl w:val="FC9CB7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5A4672C1"/>
    <w:multiLevelType w:val="hybridMultilevel"/>
    <w:tmpl w:val="41F6FC90"/>
    <w:lvl w:ilvl="0" w:tplc="4FCA4E5A">
      <w:start w:val="1"/>
      <w:numFmt w:val="upperRoman"/>
      <w:lvlText w:val="%1."/>
      <w:lvlJc w:val="left"/>
      <w:pPr>
        <w:ind w:left="1080" w:hanging="720"/>
      </w:pPr>
      <w:rPr>
        <w:rFonts w:hint="default"/>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5"/>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3E19"/>
    <w:rsid w:val="00035329"/>
    <w:rsid w:val="00085936"/>
    <w:rsid w:val="00136E50"/>
    <w:rsid w:val="002B7FE9"/>
    <w:rsid w:val="003A29A0"/>
    <w:rsid w:val="003F5B14"/>
    <w:rsid w:val="00453C7D"/>
    <w:rsid w:val="004A2673"/>
    <w:rsid w:val="0061258F"/>
    <w:rsid w:val="00644350"/>
    <w:rsid w:val="0065315A"/>
    <w:rsid w:val="006D3E19"/>
    <w:rsid w:val="006E6886"/>
    <w:rsid w:val="007F5DE2"/>
    <w:rsid w:val="009B5174"/>
    <w:rsid w:val="00A54F70"/>
    <w:rsid w:val="00D309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Verdana" w:eastAsiaTheme="minorHAnsi" w:hAnsi="Verdana" w:cstheme="minorBidi"/>
        <w:sz w:val="18"/>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6D3E19"/>
    <w:pPr>
      <w:spacing w:after="0" w:line="240" w:lineRule="atLeast"/>
    </w:pPr>
    <w:rPr>
      <w:rFonts w:eastAsia="Times New Roman" w:cs="Times New Roman"/>
      <w:szCs w:val="24"/>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opmerking">
    <w:name w:val="annotation text"/>
    <w:basedOn w:val="Standaard"/>
    <w:link w:val="TekstopmerkingChar"/>
    <w:unhideWhenUsed/>
    <w:rsid w:val="006D3E19"/>
    <w:rPr>
      <w:sz w:val="20"/>
      <w:szCs w:val="20"/>
    </w:rPr>
  </w:style>
  <w:style w:type="character" w:customStyle="1" w:styleId="TekstopmerkingChar">
    <w:name w:val="Tekst opmerking Char"/>
    <w:basedOn w:val="Standaardalinea-lettertype"/>
    <w:link w:val="Tekstopmerking"/>
    <w:rsid w:val="006D3E19"/>
    <w:rPr>
      <w:rFonts w:eastAsia="Times New Roman" w:cs="Times New Roman"/>
      <w:sz w:val="20"/>
      <w:szCs w:val="20"/>
      <w:lang w:val="nl-NL" w:eastAsia="nl-NL"/>
    </w:rPr>
  </w:style>
  <w:style w:type="character" w:styleId="Verwijzingopmerking">
    <w:name w:val="annotation reference"/>
    <w:unhideWhenUsed/>
    <w:rsid w:val="006D3E19"/>
    <w:rPr>
      <w:sz w:val="16"/>
      <w:szCs w:val="16"/>
    </w:rPr>
  </w:style>
  <w:style w:type="paragraph" w:styleId="Lijstalinea">
    <w:name w:val="List Paragraph"/>
    <w:basedOn w:val="Standaard"/>
    <w:uiPriority w:val="34"/>
    <w:qFormat/>
    <w:rsid w:val="006D3E19"/>
    <w:pPr>
      <w:ind w:left="720"/>
      <w:contextualSpacing/>
    </w:pPr>
  </w:style>
  <w:style w:type="paragraph" w:styleId="Ballontekst">
    <w:name w:val="Balloon Text"/>
    <w:basedOn w:val="Standaard"/>
    <w:link w:val="BallontekstChar"/>
    <w:uiPriority w:val="99"/>
    <w:semiHidden/>
    <w:unhideWhenUsed/>
    <w:rsid w:val="006D3E19"/>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D3E19"/>
    <w:rPr>
      <w:rFonts w:ascii="Tahoma" w:eastAsia="Times New Roman" w:hAnsi="Tahoma" w:cs="Tahoma"/>
      <w:sz w:val="16"/>
      <w:szCs w:val="16"/>
      <w:lang w:val="nl-NL"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erdana" w:eastAsiaTheme="minorHAnsi" w:hAnsi="Verdana" w:cstheme="minorBidi"/>
        <w:sz w:val="18"/>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6D3E19"/>
    <w:pPr>
      <w:spacing w:after="0" w:line="240" w:lineRule="atLeast"/>
    </w:pPr>
    <w:rPr>
      <w:rFonts w:eastAsia="Times New Roman" w:cs="Times New Roman"/>
      <w:szCs w:val="24"/>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opmerking">
    <w:name w:val="annotation text"/>
    <w:basedOn w:val="Standaard"/>
    <w:link w:val="TekstopmerkingChar"/>
    <w:unhideWhenUsed/>
    <w:rsid w:val="006D3E19"/>
    <w:rPr>
      <w:sz w:val="20"/>
      <w:szCs w:val="20"/>
    </w:rPr>
  </w:style>
  <w:style w:type="character" w:customStyle="1" w:styleId="TekstopmerkingChar">
    <w:name w:val="Tekst opmerking Char"/>
    <w:basedOn w:val="Standaardalinea-lettertype"/>
    <w:link w:val="Tekstopmerking"/>
    <w:rsid w:val="006D3E19"/>
    <w:rPr>
      <w:rFonts w:eastAsia="Times New Roman" w:cs="Times New Roman"/>
      <w:sz w:val="20"/>
      <w:szCs w:val="20"/>
      <w:lang w:val="nl-NL" w:eastAsia="nl-NL"/>
    </w:rPr>
  </w:style>
  <w:style w:type="character" w:styleId="Verwijzingopmerking">
    <w:name w:val="annotation reference"/>
    <w:unhideWhenUsed/>
    <w:rsid w:val="006D3E19"/>
    <w:rPr>
      <w:sz w:val="16"/>
      <w:szCs w:val="16"/>
    </w:rPr>
  </w:style>
  <w:style w:type="paragraph" w:styleId="Lijstalinea">
    <w:name w:val="List Paragraph"/>
    <w:basedOn w:val="Standaard"/>
    <w:uiPriority w:val="34"/>
    <w:qFormat/>
    <w:rsid w:val="006D3E19"/>
    <w:pPr>
      <w:ind w:left="720"/>
      <w:contextualSpacing/>
    </w:pPr>
  </w:style>
  <w:style w:type="paragraph" w:styleId="Ballontekst">
    <w:name w:val="Balloon Text"/>
    <w:basedOn w:val="Standaard"/>
    <w:link w:val="BallontekstChar"/>
    <w:uiPriority w:val="99"/>
    <w:semiHidden/>
    <w:unhideWhenUsed/>
    <w:rsid w:val="006D3E19"/>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D3E19"/>
    <w:rPr>
      <w:rFonts w:ascii="Tahoma" w:eastAsia="Times New Roman" w:hAnsi="Tahoma" w:cs="Tahoma"/>
      <w:sz w:val="16"/>
      <w:szCs w:val="16"/>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1366</Words>
  <Characters>7516</Characters>
  <Application>Microsoft Office Word</Application>
  <DocSecurity>4</DocSecurity>
  <Lines>62</Lines>
  <Paragraphs>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Ministerie van Buitenlandse Zaken</Company>
  <LinksUpToDate>false</LinksUpToDate>
  <CharactersWithSpaces>8865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S.R. Stein</dc:creator>
  <cp:lastModifiedBy>Jap Tjoen San, mw.</cp:lastModifiedBy>
  <cp:revision>2</cp:revision>
  <dcterms:created xsi:type="dcterms:W3CDTF">2014-03-07T08:18:00Z</dcterms:created>
  <dcterms:modified xsi:type="dcterms:W3CDTF">2014-03-07T08:18:00Z</dcterms:modified>
</cp:coreProperties>
</file>